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8AE7AA1"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A7F6B">
        <w:rPr>
          <w:bCs/>
          <w:noProof w:val="0"/>
          <w:sz w:val="24"/>
          <w:szCs w:val="24"/>
        </w:rPr>
        <w:t>3</w:t>
      </w:r>
      <w:r w:rsidR="0088643C">
        <w:rPr>
          <w:bCs/>
          <w:noProof w:val="0"/>
          <w:sz w:val="24"/>
          <w:szCs w:val="24"/>
        </w:rPr>
        <w:t>bis</w:t>
      </w:r>
      <w:r w:rsidRPr="00B266B0">
        <w:rPr>
          <w:bCs/>
          <w:noProof w:val="0"/>
          <w:sz w:val="24"/>
          <w:szCs w:val="24"/>
        </w:rPr>
        <w:tab/>
      </w:r>
      <w:r w:rsidR="00B50369">
        <w:rPr>
          <w:bCs/>
          <w:noProof w:val="0"/>
          <w:sz w:val="24"/>
          <w:szCs w:val="24"/>
        </w:rPr>
        <w:t>R2-2</w:t>
      </w:r>
      <w:r w:rsidR="00CD131D">
        <w:rPr>
          <w:bCs/>
          <w:noProof w:val="0"/>
          <w:sz w:val="24"/>
          <w:szCs w:val="24"/>
        </w:rPr>
        <w:t>310630</w:t>
      </w:r>
    </w:p>
    <w:p w14:paraId="11776FA6" w14:textId="00B09031" w:rsidR="00A209D6" w:rsidRPr="00465587" w:rsidRDefault="0088643C" w:rsidP="00A209D6">
      <w:pPr>
        <w:pStyle w:val="Header"/>
        <w:tabs>
          <w:tab w:val="right" w:pos="9639"/>
        </w:tabs>
        <w:rPr>
          <w:bCs/>
          <w:sz w:val="24"/>
          <w:szCs w:val="24"/>
          <w:lang w:eastAsia="zh-CN"/>
        </w:rPr>
      </w:pPr>
      <w:r>
        <w:rPr>
          <w:bCs/>
          <w:sz w:val="24"/>
          <w:szCs w:val="24"/>
          <w:lang w:eastAsia="zh-CN"/>
        </w:rPr>
        <w:t>Xiamen</w:t>
      </w:r>
      <w:r w:rsidR="003C2C5D">
        <w:rPr>
          <w:bCs/>
          <w:sz w:val="24"/>
          <w:szCs w:val="24"/>
          <w:lang w:eastAsia="zh-CN"/>
        </w:rPr>
        <w:t xml:space="preserve">, </w:t>
      </w:r>
      <w:r>
        <w:rPr>
          <w:bCs/>
          <w:sz w:val="24"/>
          <w:szCs w:val="24"/>
          <w:lang w:eastAsia="zh-CN"/>
        </w:rPr>
        <w:t>China</w:t>
      </w:r>
      <w:r w:rsidR="003C2C5D">
        <w:rPr>
          <w:bCs/>
          <w:sz w:val="24"/>
          <w:szCs w:val="24"/>
          <w:lang w:eastAsia="zh-CN"/>
        </w:rPr>
        <w:t xml:space="preserve">, </w:t>
      </w:r>
      <w:r>
        <w:rPr>
          <w:bCs/>
          <w:sz w:val="24"/>
          <w:szCs w:val="24"/>
          <w:lang w:eastAsia="zh-CN"/>
        </w:rPr>
        <w:t>9</w:t>
      </w:r>
      <w:r>
        <w:rPr>
          <w:bCs/>
          <w:sz w:val="24"/>
          <w:szCs w:val="24"/>
          <w:vertAlign w:val="superscript"/>
          <w:lang w:eastAsia="zh-CN"/>
        </w:rPr>
        <w:t>th</w:t>
      </w:r>
      <w:r w:rsidR="004624C7">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13</w:t>
      </w:r>
      <w:r w:rsidR="00A76932">
        <w:rPr>
          <w:bCs/>
          <w:sz w:val="24"/>
          <w:szCs w:val="24"/>
          <w:vertAlign w:val="superscript"/>
          <w:lang w:eastAsia="zh-CN"/>
        </w:rPr>
        <w:t>th</w:t>
      </w:r>
      <w:r w:rsidR="004624C7">
        <w:rPr>
          <w:bCs/>
          <w:sz w:val="24"/>
          <w:szCs w:val="24"/>
          <w:lang w:eastAsia="zh-CN"/>
        </w:rPr>
        <w:t xml:space="preserve"> </w:t>
      </w:r>
      <w:r w:rsidR="002C75F4">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r w:rsidR="00A16D8A">
        <w:rPr>
          <w:noProof w:val="0"/>
          <w:sz w:val="24"/>
          <w:szCs w:val="24"/>
          <w:lang w:eastAsia="zh-CN"/>
        </w:rPr>
        <w:t>Revision of R2-230</w:t>
      </w:r>
      <w:r>
        <w:rPr>
          <w:noProof w:val="0"/>
          <w:sz w:val="24"/>
          <w:szCs w:val="24"/>
          <w:lang w:eastAsia="zh-CN"/>
        </w:rPr>
        <w:t>8894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02AFF9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w:t>
      </w:r>
      <w:r w:rsidR="00450874">
        <w:rPr>
          <w:rFonts w:cs="Arial"/>
          <w:b/>
          <w:bCs/>
          <w:sz w:val="24"/>
        </w:rPr>
        <w:t>12.2</w:t>
      </w:r>
      <w:r w:rsidR="0088643C">
        <w:rPr>
          <w:rFonts w:cs="Arial"/>
          <w:b/>
          <w:bCs/>
          <w:sz w:val="24"/>
        </w:rPr>
        <w:t>.1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554659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50874">
        <w:rPr>
          <w:rFonts w:eastAsia="SimSun"/>
          <w:b/>
          <w:bCs/>
          <w:sz w:val="24"/>
          <w:szCs w:val="20"/>
          <w:lang w:val="en-GB" w:eastAsia="en-US"/>
        </w:rPr>
        <w:t xml:space="preserve">Discussion on mIAB </w:t>
      </w:r>
      <w:r w:rsidR="0055499D">
        <w:rPr>
          <w:rFonts w:eastAsia="SimSun"/>
          <w:b/>
          <w:bCs/>
          <w:sz w:val="24"/>
          <w:szCs w:val="20"/>
          <w:lang w:val="en-GB" w:eastAsia="en-US"/>
        </w:rPr>
        <w:t>connected mode aspects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2C059B4A" w:rsidR="00F61EF6" w:rsidRDefault="00F61EF6" w:rsidP="00F61EF6">
      <w:r>
        <w:t>In RAN#</w:t>
      </w:r>
      <w:r w:rsidR="00A7595B">
        <w:t>97</w:t>
      </w:r>
      <w:r w:rsidR="002E00B5">
        <w:t>-</w:t>
      </w:r>
      <w:r>
        <w:t>e the</w:t>
      </w:r>
      <w:r w:rsidR="00450874">
        <w:t xml:space="preserve"> la</w:t>
      </w:r>
      <w:r w:rsidR="00A7595B">
        <w:t>test</w:t>
      </w:r>
      <w:r>
        <w:t xml:space="preserve"> WID for Rel-18 </w:t>
      </w:r>
      <w:r w:rsidR="00647513">
        <w:t xml:space="preserve">mobile IAB </w:t>
      </w:r>
      <w:r>
        <w:t>was agreed [</w:t>
      </w:r>
      <w:r w:rsidR="00D32165">
        <w:t>1</w:t>
      </w:r>
      <w:r>
        <w:t>]</w:t>
      </w:r>
      <w:r w:rsidR="00A7595B">
        <w:t>.</w:t>
      </w:r>
      <w:r>
        <w:t xml:space="preserve"> The objectives of the WID </w:t>
      </w:r>
      <w:r w:rsidR="00A7595B">
        <w:t>are</w:t>
      </w:r>
      <w:r>
        <w:t xml:space="preserve">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26BEE9C5" w14:textId="008FD73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detailed objectives of the WI are listed as follows:</w:t>
            </w:r>
          </w:p>
          <w:p w14:paraId="051AF19A"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Define Procedures for migration/topology adaptation to enable IAB-node mobility, including inter-donor migration of the entire mobile IAB-node (full migration) [RAN3, RAN2]</w:t>
            </w:r>
          </w:p>
          <w:p w14:paraId="75B35BE9" w14:textId="77777777"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10AEEE3" w14:textId="74F2D663"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mobility of dual-connected IAB-nodes is down-prioritized.</w:t>
            </w:r>
          </w:p>
          <w:p w14:paraId="2B7B55CE"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Enhancements for mobility of an IAB-node together with its served UEs, including aspects related to group mobility. No optimizations for the targeting of surrounding UEs. [RAN3, RAN2]</w:t>
            </w:r>
          </w:p>
          <w:p w14:paraId="3597836C" w14:textId="77777777" w:rsidR="00647513" w:rsidRPr="00647513" w:rsidRDefault="00647513" w:rsidP="00647513">
            <w:pPr>
              <w:pStyle w:val="maintext"/>
              <w:spacing w:line="240" w:lineRule="auto"/>
              <w:ind w:left="720" w:firstLineChars="0" w:firstLine="0"/>
              <w:rPr>
                <w:rFonts w:eastAsia="Times New Roman" w:cs="Times New Roman"/>
                <w:i/>
                <w:iCs/>
                <w:sz w:val="18"/>
                <w:lang w:eastAsia="en-US"/>
              </w:rPr>
            </w:pPr>
            <w:r w:rsidRPr="00647513">
              <w:rPr>
                <w:rFonts w:eastAsia="Times New Roman" w:cs="Times New Roman"/>
                <w:i/>
                <w:iCs/>
                <w:sz w:val="18"/>
                <w:lang w:eastAsia="en-US"/>
              </w:rPr>
              <w:t>Note: Solutions should avoid touching upon topics where Rel-17 discussions already occurred and where the topic was excluded from Rel-17, except for enhancements that are specific to IAB-node mobility.</w:t>
            </w:r>
          </w:p>
          <w:p w14:paraId="444057C2" w14:textId="2758DA0B"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Mitigation of interference due to IAB-node mobility, including the avoidance of potential reference and control signal collisions (e.g. PCI, RACH). [RAN3, RAN2]</w:t>
            </w:r>
          </w:p>
          <w:p w14:paraId="7373836B" w14:textId="7777777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following principles should be respected:</w:t>
            </w:r>
          </w:p>
          <w:p w14:paraId="318586D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Mobile IAB-nodes should be able to serve legacy UEs.</w:t>
            </w:r>
          </w:p>
          <w:p w14:paraId="016E9D62" w14:textId="0B96C2F5"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Solutions providing optimization for Mobile IAB may entail Rel-18 UE enhancements, provided that such enhancements are backwards compatible</w:t>
            </w:r>
          </w:p>
          <w:p w14:paraId="0B98736C" w14:textId="77777777" w:rsidR="00647513" w:rsidRPr="00647513" w:rsidRDefault="00647513" w:rsidP="00647513">
            <w:pPr>
              <w:pStyle w:val="maintext"/>
              <w:spacing w:line="240" w:lineRule="auto"/>
              <w:ind w:firstLineChars="0" w:firstLine="0"/>
              <w:jc w:val="left"/>
              <w:rPr>
                <w:rFonts w:eastAsia="Times New Roman" w:cs="Times New Roman"/>
                <w:sz w:val="18"/>
                <w:lang w:eastAsia="en-US"/>
              </w:rPr>
            </w:pPr>
            <w:r w:rsidRPr="00647513">
              <w:rPr>
                <w:rFonts w:eastAsia="Times New Roman" w:cs="Times New Roman"/>
                <w:sz w:val="18"/>
                <w:lang w:eastAsia="en-US"/>
              </w:rPr>
              <w:t>RAN4 is expected to study impact on RF and RRM requirements:</w:t>
            </w:r>
          </w:p>
          <w:p w14:paraId="7290C04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 xml:space="preserve">Conduct co-existence study to assess the impact of moving cells. Based on the study outcome, specify RF and RRM requirements and mechanisms for the mobile IAB-node to enable co-existence, if needed. </w:t>
            </w:r>
          </w:p>
          <w:p w14:paraId="3F5AE005" w14:textId="31E10DE9" w:rsidR="00F61EF6" w:rsidRPr="00647513" w:rsidRDefault="00647513" w:rsidP="00BE4724">
            <w:pPr>
              <w:pStyle w:val="maintext"/>
              <w:numPr>
                <w:ilvl w:val="0"/>
                <w:numId w:val="22"/>
              </w:numPr>
              <w:spacing w:line="240" w:lineRule="auto"/>
              <w:ind w:firstLineChars="0"/>
              <w:jc w:val="left"/>
              <w:rPr>
                <w:rFonts w:eastAsia="Times New Roman" w:cs="Times New Roman"/>
                <w:lang w:eastAsia="en-US"/>
              </w:rPr>
            </w:pPr>
            <w:r w:rsidRPr="00647513">
              <w:rPr>
                <w:rFonts w:eastAsia="Times New Roman" w:cs="Times New Roman"/>
                <w:sz w:val="18"/>
                <w:lang w:eastAsia="en-US"/>
              </w:rPr>
              <w:t>Specify RRM requirements for the mobile IAB-node to enable IAB-node mobility, if needed.</w:t>
            </w:r>
          </w:p>
        </w:tc>
      </w:tr>
    </w:tbl>
    <w:p w14:paraId="2F01C903" w14:textId="597B824B" w:rsidR="00C25AEA" w:rsidRDefault="00C25AEA" w:rsidP="00F00A10"/>
    <w:p w14:paraId="7A548F75" w14:textId="77777777" w:rsidR="00A7595B" w:rsidRDefault="00A7595B" w:rsidP="00A7595B">
      <w:pPr>
        <w:rPr>
          <w:rFonts w:eastAsia="DengXian"/>
          <w:lang w:val="en-GB" w:eastAsia="zh-CN"/>
        </w:rPr>
      </w:pPr>
      <w:r>
        <w:rPr>
          <w:rFonts w:eastAsia="DengXian"/>
          <w:lang w:val="en-GB" w:eastAsia="zh-CN"/>
        </w:rPr>
        <w:t xml:space="preserve">In this contribution, we further discuss on the following aspects. </w:t>
      </w:r>
    </w:p>
    <w:p w14:paraId="191074F7" w14:textId="77777777" w:rsidR="00A7595B" w:rsidRDefault="00A7595B" w:rsidP="00A7595B">
      <w:pPr>
        <w:numPr>
          <w:ilvl w:val="0"/>
          <w:numId w:val="19"/>
        </w:numPr>
        <w:overflowPunct w:val="0"/>
        <w:autoSpaceDE w:val="0"/>
        <w:autoSpaceDN w:val="0"/>
        <w:rPr>
          <w:rFonts w:eastAsia="DengXian"/>
          <w:lang w:val="en-GB" w:eastAsia="zh-CN"/>
        </w:rPr>
      </w:pPr>
      <w:r>
        <w:rPr>
          <w:rFonts w:eastAsia="DengXian"/>
          <w:lang w:val="en-GB" w:eastAsia="zh-CN"/>
        </w:rPr>
        <w:t>Group mobility handling</w:t>
      </w:r>
    </w:p>
    <w:p w14:paraId="2763EC24" w14:textId="4B7D77B4" w:rsidR="00A7595B" w:rsidRDefault="00A7595B" w:rsidP="00A7595B">
      <w:pPr>
        <w:numPr>
          <w:ilvl w:val="0"/>
          <w:numId w:val="19"/>
        </w:numPr>
        <w:overflowPunct w:val="0"/>
        <w:autoSpaceDE w:val="0"/>
        <w:autoSpaceDN w:val="0"/>
        <w:rPr>
          <w:rFonts w:eastAsia="DengXian"/>
          <w:lang w:val="en-GB" w:eastAsia="zh-CN"/>
        </w:rPr>
      </w:pPr>
      <w:r>
        <w:rPr>
          <w:rFonts w:eastAsia="DengXian"/>
          <w:lang w:val="en-GB" w:eastAsia="zh-CN"/>
        </w:rPr>
        <w:t>Adoption of RACH</w:t>
      </w:r>
      <w:r w:rsidR="003F7C7B">
        <w:rPr>
          <w:rFonts w:eastAsia="DengXian"/>
          <w:lang w:val="en-GB" w:eastAsia="zh-CN"/>
        </w:rPr>
        <w:t>-</w:t>
      </w:r>
      <w:r>
        <w:rPr>
          <w:rFonts w:eastAsia="DengXian"/>
          <w:lang w:val="en-GB" w:eastAsia="zh-CN"/>
        </w:rPr>
        <w:t>less HO</w:t>
      </w:r>
    </w:p>
    <w:p w14:paraId="29256CC4" w14:textId="2DD76A7B" w:rsidR="003F7C7B" w:rsidRDefault="003F7C7B" w:rsidP="00A7595B">
      <w:pPr>
        <w:numPr>
          <w:ilvl w:val="0"/>
          <w:numId w:val="19"/>
        </w:numPr>
        <w:overflowPunct w:val="0"/>
        <w:autoSpaceDE w:val="0"/>
        <w:autoSpaceDN w:val="0"/>
        <w:rPr>
          <w:rFonts w:eastAsia="DengXian"/>
          <w:lang w:val="en-GB" w:eastAsia="zh-CN"/>
        </w:rPr>
      </w:pPr>
      <w:r>
        <w:rPr>
          <w:rFonts w:eastAsia="DengXian"/>
          <w:lang w:val="en-GB" w:eastAsia="zh-CN"/>
        </w:rPr>
        <w:t>CHO event T1</w:t>
      </w:r>
    </w:p>
    <w:p w14:paraId="3C1CB744" w14:textId="5946C0C1" w:rsidR="0015511D" w:rsidRPr="00F53B1A" w:rsidRDefault="0015511D" w:rsidP="00A7595B">
      <w:pPr>
        <w:numPr>
          <w:ilvl w:val="0"/>
          <w:numId w:val="19"/>
        </w:numPr>
        <w:overflowPunct w:val="0"/>
        <w:autoSpaceDE w:val="0"/>
        <w:autoSpaceDN w:val="0"/>
        <w:rPr>
          <w:rFonts w:eastAsia="DengXian"/>
          <w:lang w:val="en-GB" w:eastAsia="zh-CN"/>
        </w:rPr>
      </w:pPr>
      <w:r>
        <w:rPr>
          <w:rFonts w:eastAsia="DengXian"/>
          <w:lang w:val="en-GB" w:eastAsia="zh-CN"/>
        </w:rPr>
        <w:t>IAB capabilities</w:t>
      </w:r>
    </w:p>
    <w:p w14:paraId="51ABF603" w14:textId="572A3C21" w:rsidR="00DC6A61" w:rsidRPr="006E13D1" w:rsidRDefault="002E3A3A" w:rsidP="00B7538C">
      <w:pPr>
        <w:pStyle w:val="Heading1"/>
      </w:pPr>
      <w:r>
        <w:t>Connected mode mobility</w:t>
      </w:r>
    </w:p>
    <w:p w14:paraId="6BC645C6" w14:textId="480E8801" w:rsidR="00A7595B" w:rsidRDefault="00A7595B" w:rsidP="00A7595B">
      <w:pPr>
        <w:pStyle w:val="Heading2"/>
      </w:pPr>
      <w:r>
        <w:t>Group mobility solution</w:t>
      </w:r>
    </w:p>
    <w:p w14:paraId="0E0F15B4" w14:textId="7994383C" w:rsidR="00C233F5" w:rsidRPr="0062080C" w:rsidRDefault="00C233F5" w:rsidP="00C233F5">
      <w:pPr>
        <w:rPr>
          <w:rFonts w:eastAsia="Malgun Gothic"/>
          <w:lang w:eastAsia="ko-KR"/>
        </w:rPr>
      </w:pPr>
      <w:r>
        <w:rPr>
          <w:rFonts w:eastAsia="DengXian"/>
          <w:lang w:val="en-GB" w:eastAsia="zh-CN"/>
        </w:rPr>
        <w:t>In RAN2#121 t</w:t>
      </w:r>
      <w:r w:rsidRPr="00F907D1">
        <w:rPr>
          <w:rFonts w:eastAsia="DengXian" w:hint="eastAsia"/>
          <w:lang w:val="en-GB" w:eastAsia="zh-CN"/>
        </w:rPr>
        <w:t xml:space="preserve">here </w:t>
      </w:r>
      <w:r>
        <w:rPr>
          <w:rFonts w:eastAsia="DengXian"/>
          <w:lang w:val="en-GB" w:eastAsia="zh-CN"/>
        </w:rPr>
        <w:t>were</w:t>
      </w:r>
      <w:r w:rsidRPr="00F907D1">
        <w:rPr>
          <w:rFonts w:eastAsia="DengXian"/>
          <w:lang w:val="en-GB" w:eastAsia="zh-CN"/>
        </w:rPr>
        <w:t xml:space="preserve"> no agreement made in the last R2 meeting</w:t>
      </w:r>
      <w:r>
        <w:rPr>
          <w:rFonts w:eastAsia="DengXian"/>
          <w:lang w:val="en-GB" w:eastAsia="zh-CN"/>
        </w:rPr>
        <w:t xml:space="preserve">, but majority view was to consider the </w:t>
      </w:r>
      <w:r w:rsidRPr="00984DD1">
        <w:rPr>
          <w:rFonts w:eastAsia="DengXian"/>
          <w:i/>
          <w:lang w:val="en-GB" w:eastAsia="zh-CN"/>
        </w:rPr>
        <w:t>delayedRRCReconfiguration</w:t>
      </w:r>
      <w:r>
        <w:rPr>
          <w:rFonts w:eastAsia="DengXian"/>
          <w:lang w:val="en-GB" w:eastAsia="zh-CN"/>
        </w:rPr>
        <w:t xml:space="preserve"> method, and legacy CHO as the solution. </w:t>
      </w:r>
      <w:r w:rsidRPr="0062080C">
        <w:rPr>
          <w:rFonts w:eastAsia="Malgun Gothic"/>
          <w:lang w:eastAsia="ko-KR"/>
        </w:rPr>
        <w:t xml:space="preserve">The purpose of this enhancement for mIAB cell is to reduce the signaling surges when legacy handover procedure is used upon full migration of </w:t>
      </w:r>
      <w:r w:rsidRPr="0062080C">
        <w:rPr>
          <w:rFonts w:eastAsia="Malgun Gothic"/>
          <w:lang w:eastAsia="ko-KR"/>
        </w:rPr>
        <w:lastRenderedPageBreak/>
        <w:t xml:space="preserve">the mIAB node. For this purpose, there were proposals on the possible solutions for handling this access UEs’ group mobility. </w:t>
      </w:r>
      <w:r>
        <w:rPr>
          <w:rFonts w:eastAsia="Malgun Gothic"/>
          <w:lang w:eastAsia="ko-KR"/>
        </w:rPr>
        <w:t>Here we</w:t>
      </w:r>
      <w:r w:rsidRPr="0062080C">
        <w:rPr>
          <w:rFonts w:eastAsia="Malgun Gothic"/>
          <w:lang w:eastAsia="ko-KR"/>
        </w:rPr>
        <w:t xml:space="preserve"> analyze the pros and cons to determine the best </w:t>
      </w:r>
      <w:r>
        <w:rPr>
          <w:rFonts w:eastAsia="Malgun Gothic"/>
          <w:lang w:eastAsia="ko-KR"/>
        </w:rPr>
        <w:t>solution</w:t>
      </w:r>
      <w:r w:rsidRPr="0062080C">
        <w:rPr>
          <w:rFonts w:eastAsia="Malgun Gothic"/>
          <w:lang w:eastAsia="ko-KR"/>
        </w:rPr>
        <w:t xml:space="preserve"> for the scenario concerned. </w:t>
      </w:r>
    </w:p>
    <w:p w14:paraId="73C0477F" w14:textId="23CC97BD" w:rsidR="00C233F5" w:rsidRPr="0062080C" w:rsidRDefault="00C233F5" w:rsidP="00C233F5">
      <w:pPr>
        <w:rPr>
          <w:rFonts w:eastAsia="Malgun Gothic"/>
          <w:lang w:eastAsia="ko-KR"/>
        </w:rPr>
      </w:pPr>
      <w:r w:rsidRPr="0062080C">
        <w:rPr>
          <w:rFonts w:eastAsia="Malgun Gothic"/>
          <w:lang w:eastAsia="ko-KR"/>
        </w:rPr>
        <w:t>Before the comparison</w:t>
      </w:r>
      <w:r>
        <w:rPr>
          <w:rFonts w:eastAsia="Malgun Gothic"/>
          <w:lang w:eastAsia="ko-KR"/>
        </w:rPr>
        <w:t xml:space="preserve"> the solutions some</w:t>
      </w:r>
      <w:r w:rsidRPr="0062080C">
        <w:rPr>
          <w:rFonts w:eastAsia="Malgun Gothic"/>
          <w:lang w:eastAsia="ko-KR"/>
        </w:rPr>
        <w:t xml:space="preserve"> principles </w:t>
      </w:r>
      <w:r>
        <w:rPr>
          <w:rFonts w:eastAsia="Malgun Gothic"/>
          <w:lang w:eastAsia="ko-KR"/>
        </w:rPr>
        <w:t>should be established:</w:t>
      </w:r>
      <w:r w:rsidRPr="0062080C">
        <w:rPr>
          <w:rFonts w:eastAsia="Malgun Gothic"/>
          <w:lang w:eastAsia="ko-KR"/>
        </w:rPr>
        <w:t xml:space="preserve"> </w:t>
      </w:r>
    </w:p>
    <w:p w14:paraId="3283BA50" w14:textId="237B5C14" w:rsidR="00C233F5" w:rsidRPr="00965C7D" w:rsidRDefault="00C233F5" w:rsidP="00C233F5">
      <w:pPr>
        <w:rPr>
          <w:rFonts w:eastAsia="Malgun Gothic"/>
          <w:b/>
          <w:lang w:eastAsia="ko-KR"/>
        </w:rPr>
      </w:pPr>
      <w:r w:rsidRPr="00965C7D">
        <w:rPr>
          <w:rFonts w:eastAsia="Malgun Gothic"/>
          <w:b/>
          <w:lang w:eastAsia="ko-KR"/>
        </w:rPr>
        <w:t xml:space="preserve">Observation 1. In any case, turning on the target cell should </w:t>
      </w:r>
      <w:r w:rsidR="002D6D48" w:rsidRPr="00965C7D">
        <w:rPr>
          <w:rFonts w:eastAsia="Malgun Gothic"/>
          <w:b/>
          <w:lang w:eastAsia="ko-KR"/>
        </w:rPr>
        <w:t xml:space="preserve">be before </w:t>
      </w:r>
      <w:r w:rsidRPr="00965C7D">
        <w:rPr>
          <w:rFonts w:eastAsia="Malgun Gothic"/>
          <w:b/>
          <w:lang w:eastAsia="ko-KR"/>
        </w:rPr>
        <w:t>the U</w:t>
      </w:r>
      <w:r w:rsidR="002D6D48" w:rsidRPr="00965C7D">
        <w:rPr>
          <w:rFonts w:eastAsia="Malgun Gothic"/>
          <w:b/>
          <w:lang w:eastAsia="ko-KR"/>
        </w:rPr>
        <w:t>E attempts a</w:t>
      </w:r>
      <w:r w:rsidRPr="00965C7D">
        <w:rPr>
          <w:rFonts w:eastAsia="Malgun Gothic"/>
          <w:b/>
          <w:lang w:eastAsia="ko-KR"/>
        </w:rPr>
        <w:t xml:space="preserve"> handover to avoid handover failure.</w:t>
      </w:r>
    </w:p>
    <w:p w14:paraId="536A6F92" w14:textId="5BF8582E" w:rsidR="00C233F5" w:rsidRPr="00965C7D" w:rsidRDefault="00C233F5" w:rsidP="00C233F5">
      <w:pPr>
        <w:rPr>
          <w:rFonts w:eastAsia="Malgun Gothic"/>
          <w:lang w:eastAsia="ko-KR"/>
        </w:rPr>
      </w:pPr>
      <w:r w:rsidRPr="00965C7D">
        <w:rPr>
          <w:rFonts w:eastAsia="Malgun Gothic"/>
          <w:b/>
          <w:lang w:eastAsia="ko-KR"/>
        </w:rPr>
        <w:t>Observation 2. Any type of handover command needs to be given to the UE via the source cell.</w:t>
      </w:r>
    </w:p>
    <w:p w14:paraId="03CF43B1" w14:textId="615BB846" w:rsidR="00C233F5" w:rsidRPr="0062080C" w:rsidRDefault="00C233F5" w:rsidP="00C233F5">
      <w:pPr>
        <w:rPr>
          <w:rFonts w:eastAsia="Malgun Gothic"/>
          <w:lang w:eastAsia="ko-KR"/>
        </w:rPr>
      </w:pPr>
      <w:r w:rsidRPr="0062080C">
        <w:rPr>
          <w:rFonts w:eastAsia="Malgun Gothic"/>
          <w:lang w:eastAsia="ko-KR"/>
        </w:rPr>
        <w:t>Based on this, following is analysis on each mIAB node’s mobility solutions.</w:t>
      </w:r>
    </w:p>
    <w:p w14:paraId="41648576" w14:textId="59237E11" w:rsidR="00C233F5" w:rsidRPr="00965C7D" w:rsidRDefault="00C233F5" w:rsidP="00C233F5">
      <w:pPr>
        <w:rPr>
          <w:rFonts w:eastAsia="Malgun Gothic"/>
          <w:b/>
          <w:i/>
          <w:lang w:eastAsia="ko-KR"/>
        </w:rPr>
      </w:pPr>
      <w:r w:rsidRPr="00965C7D">
        <w:rPr>
          <w:rFonts w:eastAsia="Malgun Gothic"/>
          <w:b/>
          <w:i/>
          <w:lang w:eastAsia="ko-KR"/>
        </w:rPr>
        <w:t>Sol</w:t>
      </w:r>
      <w:r w:rsidR="002D6D48" w:rsidRPr="00965C7D">
        <w:rPr>
          <w:rFonts w:eastAsia="Malgun Gothic"/>
          <w:b/>
          <w:i/>
          <w:lang w:eastAsia="ko-KR"/>
        </w:rPr>
        <w:t xml:space="preserve">ution </w:t>
      </w:r>
      <w:r w:rsidRPr="00965C7D">
        <w:rPr>
          <w:rFonts w:eastAsia="Malgun Gothic"/>
          <w:b/>
          <w:i/>
          <w:lang w:eastAsia="ko-KR"/>
        </w:rPr>
        <w:t xml:space="preserve">1: </w:t>
      </w:r>
      <w:r w:rsidR="000E763B" w:rsidRPr="00965C7D">
        <w:rPr>
          <w:rFonts w:eastAsia="Malgun Gothic"/>
          <w:b/>
          <w:i/>
          <w:lang w:eastAsia="ko-KR"/>
        </w:rPr>
        <w:t>U</w:t>
      </w:r>
      <w:r w:rsidRPr="00965C7D">
        <w:rPr>
          <w:rFonts w:eastAsia="Malgun Gothic"/>
          <w:b/>
          <w:i/>
          <w:lang w:eastAsia="ko-KR"/>
        </w:rPr>
        <w:t xml:space="preserve">sing </w:t>
      </w:r>
      <w:r w:rsidR="002D6D48" w:rsidRPr="00965C7D">
        <w:rPr>
          <w:rFonts w:eastAsia="Malgun Gothic"/>
          <w:b/>
          <w:i/>
          <w:lang w:eastAsia="ko-KR"/>
        </w:rPr>
        <w:t>d</w:t>
      </w:r>
      <w:r w:rsidRPr="00965C7D">
        <w:rPr>
          <w:rFonts w:eastAsia="Malgun Gothic"/>
          <w:b/>
          <w:i/>
          <w:lang w:eastAsia="ko-KR"/>
        </w:rPr>
        <w:t xml:space="preserve">elayed RRCReconfiguration </w:t>
      </w:r>
    </w:p>
    <w:p w14:paraId="4860E77E" w14:textId="0F24DEAA"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mIAB’s DU withholds the UE’s handover command</w:t>
      </w:r>
      <w:r w:rsidR="002D6D48">
        <w:rPr>
          <w:rFonts w:eastAsia="Malgun Gothic"/>
          <w:lang w:eastAsia="ko-KR"/>
        </w:rPr>
        <w:t>, i.e the RRCReconfiguration,</w:t>
      </w:r>
      <w:r w:rsidRPr="0062080C">
        <w:rPr>
          <w:rFonts w:eastAsia="Malgun Gothic"/>
          <w:lang w:eastAsia="ko-KR"/>
        </w:rPr>
        <w:t xml:space="preserve"> until</w:t>
      </w:r>
      <w:r w:rsidR="002D6D48">
        <w:rPr>
          <w:rFonts w:eastAsia="Malgun Gothic"/>
          <w:lang w:eastAsia="ko-KR"/>
        </w:rPr>
        <w:t xml:space="preserve"> the</w:t>
      </w:r>
      <w:r w:rsidRPr="0062080C">
        <w:rPr>
          <w:rFonts w:eastAsia="Malgun Gothic"/>
          <w:lang w:eastAsia="ko-KR"/>
        </w:rPr>
        <w:t xml:space="preserve"> condition is met. Here the condition could be that at least target parent cell is turned on, or some equivalent network operation which mIAB is able to be aware</w:t>
      </w:r>
      <w:r w:rsidR="002D6D48">
        <w:rPr>
          <w:rFonts w:eastAsia="Malgun Gothic"/>
          <w:lang w:eastAsia="ko-KR"/>
        </w:rPr>
        <w:t xml:space="preserve"> of,</w:t>
      </w:r>
      <w:r w:rsidRPr="0062080C">
        <w:rPr>
          <w:rFonts w:eastAsia="Malgun Gothic"/>
          <w:lang w:eastAsia="ko-KR"/>
        </w:rPr>
        <w:t xml:space="preserve"> such as F1 migration completion or mIAB’s handover completion to target donor node. Upon</w:t>
      </w:r>
      <w:r w:rsidR="002D6D48">
        <w:rPr>
          <w:rFonts w:eastAsia="Malgun Gothic"/>
          <w:lang w:eastAsia="ko-KR"/>
        </w:rPr>
        <w:t xml:space="preserve"> the</w:t>
      </w:r>
      <w:r w:rsidRPr="0062080C">
        <w:rPr>
          <w:rFonts w:eastAsia="Malgun Gothic"/>
          <w:lang w:eastAsia="ko-KR"/>
        </w:rPr>
        <w:t xml:space="preserve"> condition</w:t>
      </w:r>
      <w:r w:rsidR="002D6D48">
        <w:rPr>
          <w:rFonts w:eastAsia="Malgun Gothic"/>
          <w:lang w:eastAsia="ko-KR"/>
        </w:rPr>
        <w:t xml:space="preserve"> being</w:t>
      </w:r>
      <w:r w:rsidRPr="0062080C">
        <w:rPr>
          <w:rFonts w:eastAsia="Malgun Gothic"/>
          <w:lang w:eastAsia="ko-KR"/>
        </w:rPr>
        <w:t xml:space="preserve"> fulfilled, </w:t>
      </w:r>
      <w:r w:rsidR="002D6D48">
        <w:rPr>
          <w:rFonts w:eastAsia="Malgun Gothic"/>
          <w:lang w:eastAsia="ko-KR"/>
        </w:rPr>
        <w:t xml:space="preserve">the </w:t>
      </w:r>
      <w:r w:rsidRPr="0062080C">
        <w:rPr>
          <w:rFonts w:eastAsia="Malgun Gothic"/>
          <w:lang w:eastAsia="ko-KR"/>
        </w:rPr>
        <w:t>mIAB DU starts to transmit this withheld RRCReconfiguration to the UEs via source cell (i.e., mIAB’s logical DU cell associated with source donor), and</w:t>
      </w:r>
      <w:r w:rsidR="002D6D48">
        <w:rPr>
          <w:rFonts w:eastAsia="Malgun Gothic"/>
          <w:lang w:eastAsia="ko-KR"/>
        </w:rPr>
        <w:t xml:space="preserve"> the</w:t>
      </w:r>
      <w:r w:rsidRPr="0062080C">
        <w:rPr>
          <w:rFonts w:eastAsia="Malgun Gothic"/>
          <w:lang w:eastAsia="ko-KR"/>
        </w:rPr>
        <w:t xml:space="preserve"> UE</w:t>
      </w:r>
      <w:r w:rsidR="002D6D48">
        <w:rPr>
          <w:rFonts w:eastAsia="Malgun Gothic"/>
          <w:lang w:eastAsia="ko-KR"/>
        </w:rPr>
        <w:t>s</w:t>
      </w:r>
      <w:r w:rsidRPr="0062080C">
        <w:rPr>
          <w:rFonts w:eastAsia="Malgun Gothic"/>
          <w:lang w:eastAsia="ko-KR"/>
        </w:rPr>
        <w:t xml:space="preserve"> will execute the handover to the target cell (i.e., mIAB’s logical DU cell associated with target donor). Original</w:t>
      </w:r>
      <w:r w:rsidR="002D6D48">
        <w:rPr>
          <w:rFonts w:eastAsia="Malgun Gothic"/>
          <w:lang w:eastAsia="ko-KR"/>
        </w:rPr>
        <w:t>ly</w:t>
      </w:r>
      <w:r w:rsidRPr="0062080C">
        <w:rPr>
          <w:rFonts w:eastAsia="Malgun Gothic"/>
          <w:lang w:eastAsia="ko-KR"/>
        </w:rPr>
        <w:t xml:space="preserve"> delayed RRCReconfig</w:t>
      </w:r>
      <w:r w:rsidR="00EE63F5">
        <w:rPr>
          <w:rFonts w:eastAsia="Malgun Gothic"/>
          <w:lang w:eastAsia="ko-KR"/>
        </w:rPr>
        <w:t>uration</w:t>
      </w:r>
      <w:r w:rsidRPr="0062080C">
        <w:rPr>
          <w:rFonts w:eastAsia="Malgun Gothic"/>
          <w:lang w:eastAsia="ko-KR"/>
        </w:rPr>
        <w:t xml:space="preserve"> was introduced in R17</w:t>
      </w:r>
      <w:r>
        <w:rPr>
          <w:rFonts w:eastAsia="Malgun Gothic"/>
          <w:lang w:eastAsia="ko-KR"/>
        </w:rPr>
        <w:t xml:space="preserve"> for the</w:t>
      </w:r>
      <w:r w:rsidRPr="0062080C">
        <w:rPr>
          <w:rFonts w:eastAsia="Malgun Gothic"/>
          <w:lang w:eastAsia="ko-KR"/>
        </w:rPr>
        <w:t xml:space="preserve"> purpose</w:t>
      </w:r>
      <w:r w:rsidR="00984DD1">
        <w:rPr>
          <w:rFonts w:eastAsia="Malgun Gothic"/>
          <w:lang w:eastAsia="ko-KR"/>
        </w:rPr>
        <w:t xml:space="preserve"> of RAN3</w:t>
      </w:r>
      <w:r w:rsidRPr="0062080C">
        <w:rPr>
          <w:rFonts w:eastAsia="Malgun Gothic"/>
          <w:lang w:eastAsia="ko-KR"/>
        </w:rPr>
        <w:t xml:space="preserve">. We don’t see much difference between the original </w:t>
      </w:r>
      <w:r w:rsidR="00EE63F5">
        <w:rPr>
          <w:rFonts w:eastAsia="Malgun Gothic"/>
          <w:lang w:eastAsia="ko-KR"/>
        </w:rPr>
        <w:t>intention of introducing delayed RRCReconfiguration and this use case</w:t>
      </w:r>
      <w:r w:rsidRPr="0062080C">
        <w:rPr>
          <w:rFonts w:eastAsia="Malgun Gothic"/>
          <w:lang w:eastAsia="ko-KR"/>
        </w:rPr>
        <w:t xml:space="preserve">. The proposed one here is almost same as that, except that DU sends </w:t>
      </w:r>
      <w:r>
        <w:rPr>
          <w:rFonts w:eastAsia="Malgun Gothic"/>
          <w:lang w:eastAsia="ko-KR"/>
        </w:rPr>
        <w:t>the withheld RRCReconfig</w:t>
      </w:r>
      <w:r w:rsidR="00EE63F5">
        <w:rPr>
          <w:rFonts w:eastAsia="Malgun Gothic"/>
          <w:lang w:eastAsia="ko-KR"/>
        </w:rPr>
        <w:t>uration</w:t>
      </w:r>
      <w:r>
        <w:rPr>
          <w:rFonts w:eastAsia="Malgun Gothic"/>
          <w:lang w:eastAsia="ko-KR"/>
        </w:rPr>
        <w:t xml:space="preserve"> </w:t>
      </w:r>
      <w:r w:rsidRPr="0062080C">
        <w:rPr>
          <w:rFonts w:eastAsia="Malgun Gothic"/>
          <w:lang w:eastAsia="ko-KR"/>
        </w:rPr>
        <w:t>to its UEs. However</w:t>
      </w:r>
      <w:r w:rsidR="00EE63F5">
        <w:rPr>
          <w:rFonts w:eastAsia="Malgun Gothic"/>
          <w:lang w:eastAsia="ko-KR"/>
        </w:rPr>
        <w:t>,</w:t>
      </w:r>
      <w:r w:rsidRPr="0062080C">
        <w:rPr>
          <w:rFonts w:eastAsia="Malgun Gothic"/>
          <w:lang w:eastAsia="ko-KR"/>
        </w:rPr>
        <w:t xml:space="preserve"> the same F1AP message is used and MT is also regarded as</w:t>
      </w:r>
      <w:r w:rsidR="00EE63F5">
        <w:rPr>
          <w:rFonts w:eastAsia="Malgun Gothic"/>
          <w:lang w:eastAsia="ko-KR"/>
        </w:rPr>
        <w:t xml:space="preserve"> a</w:t>
      </w:r>
      <w:r w:rsidRPr="0062080C">
        <w:rPr>
          <w:rFonts w:eastAsia="Malgun Gothic"/>
          <w:lang w:eastAsia="ko-KR"/>
        </w:rPr>
        <w:t xml:space="preserve"> UE in CU/DU perspective, so there is no spec changed is expected.</w:t>
      </w:r>
    </w:p>
    <w:p w14:paraId="489DAEA1" w14:textId="77777777" w:rsidR="00C233F5" w:rsidRPr="000C019D" w:rsidRDefault="00C233F5" w:rsidP="00984DD1">
      <w:pPr>
        <w:spacing w:before="60" w:after="60"/>
        <w:rPr>
          <w:rFonts w:eastAsia="Malgun Gothic"/>
          <w:b/>
          <w:lang w:eastAsia="ko-KR"/>
        </w:rPr>
      </w:pPr>
      <w:r w:rsidRPr="000C019D">
        <w:rPr>
          <w:rFonts w:eastAsia="Malgun Gothic"/>
          <w:b/>
          <w:lang w:eastAsia="ko-KR"/>
        </w:rPr>
        <w:t xml:space="preserve">Pros: </w:t>
      </w:r>
    </w:p>
    <w:p w14:paraId="7254B7E1" w14:textId="4346FFC4"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No restriction with the source donor connection. DU can store this handover command message and provide this regardless of mIAB’s connection with the source donor node. (note that to have target cell turned on, mIAB needs to connect to the target donor and disconnect with the source donor due to the legacy RRC based handover). </w:t>
      </w:r>
    </w:p>
    <w:p w14:paraId="6FB59DAC" w14:textId="3DD36D09"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The exact time of handover execution is guaranteed. </w:t>
      </w:r>
    </w:p>
    <w:p w14:paraId="7390573B" w14:textId="3F919A54"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In other aspect, the time to transmit HO command to each access UE is up to the DU’s implementation, so it can reduce DL signaling surge by spreading the HO command transmission time out </w:t>
      </w:r>
      <w:r w:rsidR="00EE63F5">
        <w:rPr>
          <w:rFonts w:eastAsia="Malgun Gothic"/>
          <w:sz w:val="20"/>
          <w:lang w:eastAsia="ko-KR"/>
        </w:rPr>
        <w:t>at</w:t>
      </w:r>
      <w:r w:rsidRPr="00984DD1">
        <w:rPr>
          <w:rFonts w:eastAsia="Malgun Gothic"/>
          <w:sz w:val="20"/>
          <w:lang w:eastAsia="ko-KR"/>
        </w:rPr>
        <w:t xml:space="preserve"> the scheduler level. </w:t>
      </w:r>
    </w:p>
    <w:p w14:paraId="766C845A" w14:textId="06FC45B5" w:rsidR="00C23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Legacy UE</w:t>
      </w:r>
      <w:r w:rsidR="00EE63F5">
        <w:rPr>
          <w:rFonts w:eastAsia="Malgun Gothic"/>
          <w:sz w:val="20"/>
          <w:lang w:eastAsia="ko-KR"/>
        </w:rPr>
        <w:t>s</w:t>
      </w:r>
      <w:r w:rsidRPr="00984DD1">
        <w:rPr>
          <w:rFonts w:eastAsia="Malgun Gothic"/>
          <w:sz w:val="20"/>
          <w:lang w:eastAsia="ko-KR"/>
        </w:rPr>
        <w:t xml:space="preserve"> </w:t>
      </w:r>
      <w:r w:rsidR="00EE63F5">
        <w:rPr>
          <w:rFonts w:eastAsia="Malgun Gothic"/>
          <w:sz w:val="20"/>
          <w:lang w:eastAsia="ko-KR"/>
        </w:rPr>
        <w:t>can be</w:t>
      </w:r>
      <w:r w:rsidRPr="00984DD1">
        <w:rPr>
          <w:rFonts w:eastAsia="Malgun Gothic"/>
          <w:sz w:val="20"/>
          <w:lang w:eastAsia="ko-KR"/>
        </w:rPr>
        <w:t xml:space="preserve"> support</w:t>
      </w:r>
      <w:r w:rsidR="00EE63F5">
        <w:rPr>
          <w:rFonts w:eastAsia="Malgun Gothic"/>
          <w:sz w:val="20"/>
          <w:lang w:eastAsia="ko-KR"/>
        </w:rPr>
        <w:t>ed</w:t>
      </w:r>
      <w:r w:rsidRPr="00984DD1">
        <w:rPr>
          <w:rFonts w:eastAsia="Malgun Gothic"/>
          <w:sz w:val="20"/>
          <w:lang w:eastAsia="ko-KR"/>
        </w:rPr>
        <w:t>.</w:t>
      </w:r>
    </w:p>
    <w:p w14:paraId="3C1E777E" w14:textId="77777777" w:rsidR="00C233F5" w:rsidRPr="000C019D" w:rsidRDefault="00C233F5" w:rsidP="00984DD1">
      <w:pPr>
        <w:spacing w:before="60" w:after="60"/>
        <w:rPr>
          <w:rFonts w:eastAsia="Malgun Gothic"/>
          <w:b/>
          <w:lang w:eastAsia="ko-KR"/>
        </w:rPr>
      </w:pPr>
      <w:r w:rsidRPr="000C019D">
        <w:rPr>
          <w:rFonts w:eastAsia="Malgun Gothic"/>
          <w:b/>
          <w:lang w:eastAsia="ko-KR"/>
        </w:rPr>
        <w:t xml:space="preserve">Cons: </w:t>
      </w:r>
    </w:p>
    <w:p w14:paraId="77DAEDEB" w14:textId="19D6A69B" w:rsidR="00C233F5"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Even transmission time of HO command can be spread out</w:t>
      </w:r>
      <w:r w:rsidR="00EE63F5">
        <w:rPr>
          <w:rFonts w:eastAsia="Malgun Gothic"/>
          <w:sz w:val="20"/>
          <w:lang w:eastAsia="ko-KR"/>
        </w:rPr>
        <w:t xml:space="preserve"> the HO command still needs to be sent</w:t>
      </w:r>
      <w:r w:rsidRPr="00984DD1">
        <w:rPr>
          <w:rFonts w:eastAsia="Malgun Gothic"/>
          <w:sz w:val="20"/>
          <w:lang w:eastAsia="ko-KR"/>
        </w:rPr>
        <w:t>.</w:t>
      </w:r>
    </w:p>
    <w:p w14:paraId="24E645B6" w14:textId="77777777" w:rsidR="00C233F5" w:rsidRPr="0062080C" w:rsidRDefault="00C233F5" w:rsidP="00C233F5">
      <w:pPr>
        <w:rPr>
          <w:rFonts w:eastAsia="Malgun Gothic"/>
          <w:lang w:eastAsia="ko-KR"/>
        </w:rPr>
      </w:pPr>
    </w:p>
    <w:p w14:paraId="310D1BFA" w14:textId="5AC2472C" w:rsidR="00C233F5" w:rsidRPr="00965C7D" w:rsidRDefault="00C233F5" w:rsidP="00C233F5">
      <w:pPr>
        <w:rPr>
          <w:rFonts w:eastAsia="Malgun Gothic"/>
          <w:b/>
          <w:i/>
          <w:lang w:eastAsia="ko-KR"/>
        </w:rPr>
      </w:pPr>
      <w:r w:rsidRPr="00965C7D">
        <w:rPr>
          <w:rFonts w:eastAsia="Malgun Gothic"/>
          <w:b/>
          <w:i/>
          <w:lang w:eastAsia="ko-KR"/>
        </w:rPr>
        <w:t>Sol</w:t>
      </w:r>
      <w:r w:rsidR="002D6D48" w:rsidRPr="00965C7D">
        <w:rPr>
          <w:rFonts w:eastAsia="Malgun Gothic"/>
          <w:b/>
          <w:i/>
          <w:lang w:eastAsia="ko-KR"/>
        </w:rPr>
        <w:t xml:space="preserve">ution </w:t>
      </w:r>
      <w:r w:rsidRPr="00965C7D">
        <w:rPr>
          <w:rFonts w:eastAsia="Malgun Gothic"/>
          <w:b/>
          <w:i/>
          <w:lang w:eastAsia="ko-KR"/>
        </w:rPr>
        <w:t xml:space="preserve">2: </w:t>
      </w:r>
      <w:r w:rsidR="000E763B" w:rsidRPr="00965C7D">
        <w:rPr>
          <w:rFonts w:eastAsia="Malgun Gothic"/>
          <w:b/>
          <w:i/>
          <w:lang w:eastAsia="ko-KR"/>
        </w:rPr>
        <w:t>U</w:t>
      </w:r>
      <w:r w:rsidRPr="00965C7D">
        <w:rPr>
          <w:rFonts w:eastAsia="Malgun Gothic"/>
          <w:b/>
          <w:i/>
          <w:lang w:eastAsia="ko-KR"/>
        </w:rPr>
        <w:t>sing enhanced conditional handover</w:t>
      </w:r>
    </w:p>
    <w:p w14:paraId="5EF71CE3" w14:textId="6A314C08"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w:t>
      </w:r>
      <w:r w:rsidR="008E2709">
        <w:rPr>
          <w:rFonts w:eastAsia="Malgun Gothic"/>
          <w:lang w:eastAsia="ko-KR"/>
        </w:rPr>
        <w:t xml:space="preserve">the </w:t>
      </w:r>
      <w:r w:rsidRPr="0062080C">
        <w:rPr>
          <w:rFonts w:eastAsia="Malgun Gothic"/>
          <w:lang w:eastAsia="ko-KR"/>
        </w:rPr>
        <w:t>target cell configuration is given to the UE a priori. The indication via broadcast / PDCCH common DCI would be a new condition to trigger CHO for all the UEs configured with this new CHO. After mIAB finishes</w:t>
      </w:r>
      <w:r w:rsidR="000E763B">
        <w:rPr>
          <w:rFonts w:eastAsia="Malgun Gothic"/>
          <w:lang w:eastAsia="ko-KR"/>
        </w:rPr>
        <w:t xml:space="preserve"> the</w:t>
      </w:r>
      <w:r w:rsidRPr="0062080C">
        <w:rPr>
          <w:rFonts w:eastAsia="Malgun Gothic"/>
          <w:lang w:eastAsia="ko-KR"/>
        </w:rPr>
        <w:t xml:space="preserve"> F1 migration to the target donor, the CHO trigger can be indicated via source cell. </w:t>
      </w:r>
    </w:p>
    <w:p w14:paraId="491C0CDA" w14:textId="77777777" w:rsidR="00C233F5" w:rsidRPr="00980094" w:rsidRDefault="00C233F5" w:rsidP="00984DD1">
      <w:pPr>
        <w:spacing w:after="60"/>
        <w:rPr>
          <w:rFonts w:eastAsia="Malgun Gothic"/>
          <w:b/>
          <w:lang w:eastAsia="ko-KR"/>
        </w:rPr>
      </w:pPr>
      <w:r w:rsidRPr="00980094">
        <w:rPr>
          <w:rFonts w:eastAsia="Malgun Gothic"/>
          <w:b/>
          <w:lang w:eastAsia="ko-KR"/>
        </w:rPr>
        <w:t xml:space="preserve">Pros: </w:t>
      </w:r>
    </w:p>
    <w:p w14:paraId="705A559E" w14:textId="02A80D5A" w:rsidR="000E763B"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 xml:space="preserve">Less signaling. Single signal to execute the all the UE’s HO. </w:t>
      </w:r>
    </w:p>
    <w:p w14:paraId="4C004A66" w14:textId="0414DCE3" w:rsidR="00C233F5"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 xml:space="preserve">The exact time of handover execution is guaranteed. </w:t>
      </w:r>
    </w:p>
    <w:p w14:paraId="42330605" w14:textId="77777777" w:rsidR="00C233F5" w:rsidRPr="00980094" w:rsidRDefault="00C233F5" w:rsidP="00984DD1">
      <w:pPr>
        <w:spacing w:before="60"/>
        <w:rPr>
          <w:rFonts w:eastAsia="Malgun Gothic"/>
          <w:b/>
          <w:lang w:eastAsia="ko-KR"/>
        </w:rPr>
      </w:pPr>
      <w:r w:rsidRPr="00980094">
        <w:rPr>
          <w:rFonts w:eastAsia="Malgun Gothic"/>
          <w:b/>
          <w:lang w:eastAsia="ko-KR"/>
        </w:rPr>
        <w:t xml:space="preserve">Cons: </w:t>
      </w:r>
    </w:p>
    <w:p w14:paraId="69804BD5" w14:textId="06B549AB" w:rsidR="000E763B" w:rsidRPr="00984DD1" w:rsidRDefault="00C233F5" w:rsidP="00984DD1">
      <w:pPr>
        <w:pStyle w:val="ListParagraph"/>
        <w:numPr>
          <w:ilvl w:val="0"/>
          <w:numId w:val="29"/>
        </w:numPr>
        <w:rPr>
          <w:rFonts w:eastAsia="Malgun Gothic"/>
          <w:sz w:val="20"/>
          <w:lang w:eastAsia="ko-KR"/>
        </w:rPr>
      </w:pPr>
      <w:r w:rsidRPr="00984DD1">
        <w:rPr>
          <w:rFonts w:eastAsia="Malgun Gothic"/>
          <w:sz w:val="20"/>
          <w:lang w:eastAsia="ko-KR"/>
        </w:rPr>
        <w:t>New feature. R</w:t>
      </w:r>
      <w:r w:rsidR="000E763B">
        <w:rPr>
          <w:rFonts w:eastAsia="Malgun Gothic"/>
          <w:sz w:val="20"/>
          <w:lang w:eastAsia="ko-KR"/>
        </w:rPr>
        <w:t>AN</w:t>
      </w:r>
      <w:r w:rsidRPr="00984DD1">
        <w:rPr>
          <w:rFonts w:eastAsia="Malgun Gothic"/>
          <w:sz w:val="20"/>
          <w:lang w:eastAsia="ko-KR"/>
        </w:rPr>
        <w:t>2</w:t>
      </w:r>
      <w:r w:rsidR="000E763B">
        <w:rPr>
          <w:rFonts w:eastAsia="Malgun Gothic"/>
          <w:sz w:val="20"/>
          <w:lang w:eastAsia="ko-KR"/>
        </w:rPr>
        <w:t xml:space="preserve"> and RAN</w:t>
      </w:r>
      <w:r w:rsidRPr="00984DD1">
        <w:rPr>
          <w:rFonts w:eastAsia="Malgun Gothic"/>
          <w:sz w:val="20"/>
          <w:lang w:eastAsia="ko-KR"/>
        </w:rPr>
        <w:t xml:space="preserve">3 spec are impacted. Legacy UE cannot support this. </w:t>
      </w:r>
    </w:p>
    <w:p w14:paraId="107BAA0A" w14:textId="73D7D4CF" w:rsidR="00C233F5" w:rsidRPr="00984DD1" w:rsidRDefault="00C233F5" w:rsidP="00984DD1">
      <w:pPr>
        <w:pStyle w:val="ListParagraph"/>
        <w:numPr>
          <w:ilvl w:val="0"/>
          <w:numId w:val="29"/>
        </w:numPr>
        <w:rPr>
          <w:rFonts w:eastAsia="Malgun Gothic"/>
          <w:sz w:val="20"/>
          <w:lang w:eastAsia="ko-KR"/>
        </w:rPr>
      </w:pPr>
      <w:r w:rsidRPr="00984DD1">
        <w:rPr>
          <w:rFonts w:eastAsia="Malgun Gothic"/>
          <w:sz w:val="20"/>
          <w:lang w:eastAsia="ko-KR"/>
        </w:rPr>
        <w:t>Assuming first target cell’s turned-on and next source cell’s off, there is no difference with legacy CHO.</w:t>
      </w:r>
    </w:p>
    <w:p w14:paraId="7336EF1D" w14:textId="77777777" w:rsidR="00C233F5" w:rsidRPr="0062080C" w:rsidRDefault="00C233F5" w:rsidP="00C233F5">
      <w:pPr>
        <w:rPr>
          <w:rFonts w:eastAsia="Malgun Gothic"/>
          <w:lang w:eastAsia="ko-KR"/>
        </w:rPr>
      </w:pPr>
    </w:p>
    <w:p w14:paraId="1D800F31" w14:textId="3A0C0DC9" w:rsidR="00C233F5" w:rsidRPr="00965C7D" w:rsidRDefault="00C233F5" w:rsidP="00C233F5">
      <w:pPr>
        <w:rPr>
          <w:rFonts w:eastAsia="Malgun Gothic"/>
          <w:b/>
          <w:i/>
          <w:lang w:eastAsia="ko-KR"/>
        </w:rPr>
      </w:pPr>
      <w:r w:rsidRPr="00965C7D">
        <w:rPr>
          <w:rFonts w:eastAsia="Malgun Gothic"/>
          <w:b/>
          <w:i/>
          <w:lang w:eastAsia="ko-KR"/>
        </w:rPr>
        <w:t>Sol</w:t>
      </w:r>
      <w:r w:rsidR="000E763B" w:rsidRPr="00965C7D">
        <w:rPr>
          <w:rFonts w:eastAsia="Malgun Gothic"/>
          <w:b/>
          <w:i/>
          <w:lang w:eastAsia="ko-KR"/>
        </w:rPr>
        <w:t xml:space="preserve">ution </w:t>
      </w:r>
      <w:r w:rsidRPr="00965C7D">
        <w:rPr>
          <w:rFonts w:eastAsia="Malgun Gothic"/>
          <w:b/>
          <w:i/>
          <w:lang w:eastAsia="ko-KR"/>
        </w:rPr>
        <w:t xml:space="preserve">3: </w:t>
      </w:r>
      <w:r w:rsidR="000E763B" w:rsidRPr="00965C7D">
        <w:rPr>
          <w:rFonts w:eastAsia="Malgun Gothic"/>
          <w:b/>
          <w:i/>
          <w:lang w:eastAsia="ko-KR"/>
        </w:rPr>
        <w:t>U</w:t>
      </w:r>
      <w:r w:rsidRPr="00965C7D">
        <w:rPr>
          <w:rFonts w:eastAsia="Malgun Gothic"/>
          <w:b/>
          <w:i/>
          <w:lang w:eastAsia="ko-KR"/>
        </w:rPr>
        <w:t>sing legacy conditional handover</w:t>
      </w:r>
    </w:p>
    <w:p w14:paraId="54D394C1" w14:textId="062A9C4A"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target cell configuration is given a priori. Serving cell link quality and target cell link quality are considered at the same time</w:t>
      </w:r>
      <w:r w:rsidR="009165FC">
        <w:rPr>
          <w:rFonts w:eastAsia="Malgun Gothic"/>
          <w:lang w:eastAsia="ko-KR"/>
        </w:rPr>
        <w:t xml:space="preserve"> using the conditional handover event A3</w:t>
      </w:r>
      <w:r w:rsidRPr="0062080C">
        <w:rPr>
          <w:rFonts w:eastAsia="Malgun Gothic"/>
          <w:lang w:eastAsia="ko-KR"/>
        </w:rPr>
        <w:t>. With target cell already turned on, the serving cell</w:t>
      </w:r>
      <w:r w:rsidR="000E763B">
        <w:rPr>
          <w:rFonts w:eastAsia="Malgun Gothic"/>
          <w:lang w:eastAsia="ko-KR"/>
        </w:rPr>
        <w:t xml:space="preserve"> being</w:t>
      </w:r>
      <w:r w:rsidRPr="0062080C">
        <w:rPr>
          <w:rFonts w:eastAsia="Malgun Gothic"/>
          <w:lang w:eastAsia="ko-KR"/>
        </w:rPr>
        <w:t xml:space="preserve"> turned</w:t>
      </w:r>
      <w:r w:rsidR="000E763B">
        <w:rPr>
          <w:rFonts w:eastAsia="Malgun Gothic"/>
          <w:lang w:eastAsia="ko-KR"/>
        </w:rPr>
        <w:t xml:space="preserve"> </w:t>
      </w:r>
      <w:r w:rsidRPr="0062080C">
        <w:rPr>
          <w:rFonts w:eastAsia="Malgun Gothic"/>
          <w:lang w:eastAsia="ko-KR"/>
        </w:rPr>
        <w:t xml:space="preserve">off can trigger the execution of CHO. </w:t>
      </w:r>
    </w:p>
    <w:p w14:paraId="53FE94AB" w14:textId="77777777" w:rsidR="00C233F5" w:rsidRPr="00980094" w:rsidRDefault="00C233F5" w:rsidP="00984DD1">
      <w:pPr>
        <w:spacing w:before="60" w:after="60"/>
        <w:rPr>
          <w:rFonts w:eastAsia="Malgun Gothic"/>
          <w:b/>
          <w:lang w:eastAsia="ko-KR"/>
        </w:rPr>
      </w:pPr>
      <w:r w:rsidRPr="00980094">
        <w:rPr>
          <w:rFonts w:eastAsia="Malgun Gothic"/>
          <w:b/>
          <w:lang w:eastAsia="ko-KR"/>
        </w:rPr>
        <w:lastRenderedPageBreak/>
        <w:t xml:space="preserve">Pros: </w:t>
      </w:r>
    </w:p>
    <w:p w14:paraId="2909C909" w14:textId="29BD8BB8" w:rsidR="000E763B"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No spec impact. Legacy UE can apply.</w:t>
      </w:r>
    </w:p>
    <w:p w14:paraId="1EE822AD" w14:textId="3834CEAC" w:rsidR="000E763B"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 xml:space="preserve">No need </w:t>
      </w:r>
      <w:r w:rsidR="009165FC">
        <w:rPr>
          <w:rFonts w:eastAsia="Malgun Gothic"/>
          <w:sz w:val="20"/>
          <w:lang w:eastAsia="ko-KR"/>
        </w:rPr>
        <w:t>for</w:t>
      </w:r>
      <w:r w:rsidRPr="00984DD1">
        <w:rPr>
          <w:rFonts w:eastAsia="Malgun Gothic"/>
          <w:sz w:val="20"/>
          <w:lang w:eastAsia="ko-KR"/>
        </w:rPr>
        <w:t xml:space="preserve"> HO c</w:t>
      </w:r>
      <w:r w:rsidR="009165FC">
        <w:rPr>
          <w:rFonts w:eastAsia="Malgun Gothic"/>
          <w:sz w:val="20"/>
          <w:lang w:eastAsia="ko-KR"/>
        </w:rPr>
        <w:t>om</w:t>
      </w:r>
      <w:r w:rsidRPr="00984DD1">
        <w:rPr>
          <w:rFonts w:eastAsia="Malgun Gothic"/>
          <w:sz w:val="20"/>
          <w:lang w:eastAsia="ko-KR"/>
        </w:rPr>
        <w:t>m</w:t>
      </w:r>
      <w:r w:rsidR="009165FC">
        <w:rPr>
          <w:rFonts w:eastAsia="Malgun Gothic"/>
          <w:sz w:val="20"/>
          <w:lang w:eastAsia="ko-KR"/>
        </w:rPr>
        <w:t>an</w:t>
      </w:r>
      <w:r w:rsidRPr="00984DD1">
        <w:rPr>
          <w:rFonts w:eastAsia="Malgun Gothic"/>
          <w:sz w:val="20"/>
          <w:lang w:eastAsia="ko-KR"/>
        </w:rPr>
        <w:t xml:space="preserve">d signaling </w:t>
      </w:r>
    </w:p>
    <w:p w14:paraId="51A95A5C" w14:textId="5CE975A6" w:rsidR="00C233F5"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 xml:space="preserve">The exact time of handover execution is guaranteed. </w:t>
      </w:r>
    </w:p>
    <w:p w14:paraId="68FC68BD" w14:textId="77777777" w:rsidR="00C233F5" w:rsidRPr="00980094" w:rsidRDefault="00C233F5" w:rsidP="00984DD1">
      <w:pPr>
        <w:spacing w:before="60" w:after="60"/>
        <w:rPr>
          <w:rFonts w:eastAsia="Malgun Gothic"/>
          <w:b/>
          <w:lang w:eastAsia="ko-KR"/>
        </w:rPr>
      </w:pPr>
      <w:r w:rsidRPr="00980094">
        <w:rPr>
          <w:rFonts w:eastAsia="Malgun Gothic"/>
          <w:b/>
          <w:lang w:eastAsia="ko-KR"/>
        </w:rPr>
        <w:t xml:space="preserve">Cons: </w:t>
      </w:r>
    </w:p>
    <w:p w14:paraId="24307E14" w14:textId="57E79166" w:rsidR="009165FC" w:rsidRPr="00984DD1" w:rsidRDefault="00C233F5" w:rsidP="00984DD1">
      <w:pPr>
        <w:pStyle w:val="ListParagraph"/>
        <w:numPr>
          <w:ilvl w:val="0"/>
          <w:numId w:val="31"/>
        </w:numPr>
        <w:rPr>
          <w:rFonts w:eastAsia="Malgun Gothic"/>
          <w:sz w:val="20"/>
          <w:lang w:eastAsia="ko-KR"/>
        </w:rPr>
      </w:pPr>
      <w:r w:rsidRPr="00984DD1">
        <w:rPr>
          <w:rFonts w:eastAsia="Malgun Gothic"/>
          <w:sz w:val="20"/>
          <w:lang w:eastAsia="ko-KR"/>
        </w:rPr>
        <w:t>There could be more HO interruption time than Sol</w:t>
      </w:r>
      <w:r w:rsidR="009165FC" w:rsidRPr="00984DD1">
        <w:rPr>
          <w:rFonts w:eastAsia="Malgun Gothic"/>
          <w:sz w:val="20"/>
          <w:lang w:eastAsia="ko-KR"/>
        </w:rPr>
        <w:t xml:space="preserve">ution </w:t>
      </w:r>
      <w:r w:rsidRPr="00984DD1">
        <w:rPr>
          <w:rFonts w:eastAsia="Malgun Gothic"/>
          <w:sz w:val="20"/>
          <w:lang w:eastAsia="ko-KR"/>
        </w:rPr>
        <w:t>1</w:t>
      </w:r>
      <w:r w:rsidR="009165FC" w:rsidRPr="00984DD1">
        <w:rPr>
          <w:rFonts w:eastAsia="Malgun Gothic"/>
          <w:sz w:val="20"/>
          <w:lang w:eastAsia="ko-KR"/>
        </w:rPr>
        <w:t xml:space="preserve"> and </w:t>
      </w:r>
      <w:r w:rsidRPr="00984DD1">
        <w:rPr>
          <w:rFonts w:eastAsia="Malgun Gothic"/>
          <w:sz w:val="20"/>
          <w:lang w:eastAsia="ko-KR"/>
        </w:rPr>
        <w:t>2. However, fine tuning of TTT for CHO condition evaluation can neutralize this interruption time to marginal.</w:t>
      </w:r>
    </w:p>
    <w:p w14:paraId="7A66810C" w14:textId="69C1D224" w:rsidR="00C233F5" w:rsidRPr="00984DD1" w:rsidRDefault="00C233F5" w:rsidP="00984DD1">
      <w:pPr>
        <w:pStyle w:val="ListParagraph"/>
        <w:numPr>
          <w:ilvl w:val="0"/>
          <w:numId w:val="31"/>
        </w:numPr>
        <w:rPr>
          <w:rFonts w:eastAsia="Malgun Gothic"/>
          <w:sz w:val="20"/>
          <w:lang w:eastAsia="ko-KR"/>
        </w:rPr>
      </w:pPr>
      <w:r w:rsidRPr="00984DD1">
        <w:rPr>
          <w:rFonts w:eastAsia="Malgun Gothic"/>
          <w:sz w:val="20"/>
          <w:lang w:eastAsia="ko-KR"/>
        </w:rPr>
        <w:t>There could be legacy UE (R15) which cannot support CHO.</w:t>
      </w:r>
    </w:p>
    <w:p w14:paraId="4971B2A1" w14:textId="77777777" w:rsidR="00C233F5" w:rsidRPr="0062080C" w:rsidRDefault="00C233F5" w:rsidP="00C233F5">
      <w:pPr>
        <w:rPr>
          <w:rFonts w:eastAsia="Malgun Gothic"/>
          <w:lang w:eastAsia="ko-KR"/>
        </w:rPr>
      </w:pPr>
    </w:p>
    <w:p w14:paraId="29DE9B56" w14:textId="76984164" w:rsidR="00C233F5" w:rsidRPr="0062080C" w:rsidRDefault="009165FC" w:rsidP="00C233F5">
      <w:pPr>
        <w:rPr>
          <w:rFonts w:eastAsia="Malgun Gothic"/>
          <w:lang w:eastAsia="ko-KR"/>
        </w:rPr>
      </w:pPr>
      <w:r>
        <w:rPr>
          <w:rFonts w:eastAsia="Malgun Gothic"/>
          <w:lang w:eastAsia="ko-KR"/>
        </w:rPr>
        <w:t>Based on the above we note the following:</w:t>
      </w:r>
      <w:r w:rsidR="00C233F5" w:rsidRPr="0062080C">
        <w:rPr>
          <w:rFonts w:eastAsia="Malgun Gothic"/>
          <w:lang w:eastAsia="ko-KR"/>
        </w:rPr>
        <w:t xml:space="preserve"> Enhanced CHO using explicit trigger indication has similar performance but has significant spec impact compared to the legacy CHO, and</w:t>
      </w:r>
      <w:r w:rsidR="00984DD1">
        <w:rPr>
          <w:rFonts w:eastAsia="Malgun Gothic"/>
          <w:lang w:eastAsia="ko-KR"/>
        </w:rPr>
        <w:t xml:space="preserve"> is</w:t>
      </w:r>
      <w:r w:rsidR="00C233F5" w:rsidRPr="0062080C">
        <w:rPr>
          <w:rFonts w:eastAsia="Malgun Gothic"/>
          <w:lang w:eastAsia="ko-KR"/>
        </w:rPr>
        <w:t xml:space="preserve"> the most difficult to solve </w:t>
      </w:r>
      <w:r w:rsidR="00984DD1">
        <w:rPr>
          <w:rFonts w:eastAsia="Malgun Gothic"/>
          <w:lang w:eastAsia="ko-KR"/>
        </w:rPr>
        <w:t>regarding the</w:t>
      </w:r>
      <w:r w:rsidR="00984DD1" w:rsidRPr="0062080C">
        <w:rPr>
          <w:rFonts w:eastAsia="Malgun Gothic"/>
          <w:lang w:eastAsia="ko-KR"/>
        </w:rPr>
        <w:t xml:space="preserve"> </w:t>
      </w:r>
      <w:r w:rsidR="00C233F5" w:rsidRPr="0062080C">
        <w:rPr>
          <w:rFonts w:eastAsia="Malgun Gothic"/>
          <w:lang w:eastAsia="ko-KR"/>
        </w:rPr>
        <w:t>compatibility issue. Legacy CHO has less compatibility issue</w:t>
      </w:r>
      <w:r w:rsidR="00984DD1">
        <w:rPr>
          <w:rFonts w:eastAsia="Malgun Gothic"/>
          <w:lang w:eastAsia="ko-KR"/>
        </w:rPr>
        <w:t>s</w:t>
      </w:r>
      <w:r w:rsidR="00C233F5" w:rsidRPr="0062080C">
        <w:rPr>
          <w:rFonts w:eastAsia="Malgun Gothic"/>
          <w:lang w:eastAsia="ko-KR"/>
        </w:rPr>
        <w:t xml:space="preserve"> but</w:t>
      </w:r>
      <w:r w:rsidR="00C233F5">
        <w:rPr>
          <w:rFonts w:eastAsia="Malgun Gothic"/>
          <w:lang w:eastAsia="ko-KR"/>
        </w:rPr>
        <w:t xml:space="preserve"> has</w:t>
      </w:r>
      <w:r w:rsidR="00C233F5" w:rsidRPr="0062080C">
        <w:rPr>
          <w:rFonts w:eastAsia="Malgun Gothic"/>
          <w:lang w:eastAsia="ko-KR"/>
        </w:rPr>
        <w:t xml:space="preserve"> no DL signaling surge. Delayed</w:t>
      </w:r>
      <w:r w:rsidR="00984DD1">
        <w:rPr>
          <w:rFonts w:eastAsia="Malgun Gothic"/>
          <w:lang w:eastAsia="ko-KR"/>
        </w:rPr>
        <w:t xml:space="preserve"> </w:t>
      </w:r>
      <w:r w:rsidR="00C233F5" w:rsidRPr="0062080C">
        <w:rPr>
          <w:rFonts w:eastAsia="Malgun Gothic"/>
          <w:lang w:eastAsia="ko-KR"/>
        </w:rPr>
        <w:t>RRCReconfig</w:t>
      </w:r>
      <w:r w:rsidR="00984DD1">
        <w:rPr>
          <w:rFonts w:eastAsia="Malgun Gothic"/>
          <w:lang w:eastAsia="ko-KR"/>
        </w:rPr>
        <w:t>uration</w:t>
      </w:r>
      <w:r w:rsidR="00C233F5" w:rsidRPr="0062080C">
        <w:rPr>
          <w:rFonts w:eastAsia="Malgun Gothic"/>
          <w:lang w:eastAsia="ko-KR"/>
        </w:rPr>
        <w:t xml:space="preserve"> method is the best for the compatibility issue but still there is HO command signaling with</w:t>
      </w:r>
      <w:r w:rsidR="00984DD1">
        <w:rPr>
          <w:rFonts w:eastAsia="Malgun Gothic"/>
          <w:lang w:eastAsia="ko-KR"/>
        </w:rPr>
        <w:t>, but</w:t>
      </w:r>
      <w:r w:rsidR="00C233F5" w:rsidRPr="0062080C">
        <w:rPr>
          <w:rFonts w:eastAsia="Malgun Gothic"/>
          <w:lang w:eastAsia="ko-KR"/>
        </w:rPr>
        <w:t xml:space="preserve"> less surge than legacy normal handover.</w:t>
      </w:r>
      <w:r w:rsidR="00984DD1">
        <w:rPr>
          <w:rFonts w:eastAsia="Malgun Gothic"/>
          <w:lang w:eastAsia="ko-KR"/>
        </w:rPr>
        <w:t xml:space="preserve"> Thus we propose the following:</w:t>
      </w:r>
    </w:p>
    <w:p w14:paraId="5BFA0BB5" w14:textId="77777777" w:rsidR="00C233F5" w:rsidRPr="00980094" w:rsidRDefault="00C233F5" w:rsidP="00C233F5">
      <w:pPr>
        <w:rPr>
          <w:rFonts w:eastAsia="Malgun Gothic"/>
          <w:b/>
          <w:lang w:eastAsia="ko-KR"/>
        </w:rPr>
      </w:pPr>
      <w:r w:rsidRPr="00980094">
        <w:rPr>
          <w:rFonts w:eastAsia="Malgun Gothic"/>
          <w:b/>
          <w:lang w:eastAsia="ko-KR"/>
        </w:rPr>
        <w:t xml:space="preserve">Proposal </w:t>
      </w:r>
      <w:r>
        <w:rPr>
          <w:rFonts w:eastAsia="Malgun Gothic"/>
          <w:b/>
          <w:lang w:eastAsia="ko-KR"/>
        </w:rPr>
        <w:t>1</w:t>
      </w:r>
      <w:r w:rsidRPr="00980094">
        <w:rPr>
          <w:rFonts w:eastAsia="Malgun Gothic"/>
          <w:b/>
          <w:lang w:eastAsia="ko-KR"/>
        </w:rPr>
        <w:t>. RAN2 conclude that delayedRRCReconfig and legacy CHO can be considered for the mIAB’s mobility solution for full migration.</w:t>
      </w:r>
    </w:p>
    <w:p w14:paraId="6D5E78E8" w14:textId="3F9EBE06" w:rsidR="00C233F5" w:rsidRPr="0062080C" w:rsidRDefault="00C233F5" w:rsidP="00C233F5">
      <w:pPr>
        <w:rPr>
          <w:rFonts w:eastAsia="Malgun Gothic"/>
          <w:lang w:eastAsia="ko-KR"/>
        </w:rPr>
      </w:pPr>
      <w:r w:rsidRPr="0062080C">
        <w:rPr>
          <w:rFonts w:eastAsia="Malgun Gothic"/>
          <w:lang w:eastAsia="ko-KR"/>
        </w:rPr>
        <w:t>Even</w:t>
      </w:r>
      <w:r w:rsidR="00984DD1">
        <w:rPr>
          <w:rFonts w:eastAsia="Malgun Gothic"/>
          <w:lang w:eastAsia="ko-KR"/>
        </w:rPr>
        <w:t xml:space="preserve"> the</w:t>
      </w:r>
      <w:r w:rsidRPr="0062080C">
        <w:rPr>
          <w:rFonts w:eastAsia="Malgun Gothic"/>
          <w:lang w:eastAsia="ko-KR"/>
        </w:rPr>
        <w:t xml:space="preserve"> current proposed form of new CHO using the explicit indication for the trigger seems not to have so strong motivation, but there would</w:t>
      </w:r>
      <w:r w:rsidR="00984DD1">
        <w:rPr>
          <w:rFonts w:eastAsia="Malgun Gothic"/>
          <w:lang w:eastAsia="ko-KR"/>
        </w:rPr>
        <w:t xml:space="preserve"> may</w:t>
      </w:r>
      <w:r w:rsidRPr="0062080C">
        <w:rPr>
          <w:rFonts w:eastAsia="Malgun Gothic"/>
          <w:lang w:eastAsia="ko-KR"/>
        </w:rPr>
        <w:t xml:space="preserve"> be other demand </w:t>
      </w:r>
      <w:r w:rsidR="00984DD1">
        <w:rPr>
          <w:rFonts w:eastAsia="Malgun Gothic"/>
          <w:lang w:eastAsia="ko-KR"/>
        </w:rPr>
        <w:t>or</w:t>
      </w:r>
      <w:r w:rsidRPr="0062080C">
        <w:rPr>
          <w:rFonts w:eastAsia="Malgun Gothic"/>
          <w:lang w:eastAsia="ko-KR"/>
        </w:rPr>
        <w:t xml:space="preserve"> requirement</w:t>
      </w:r>
      <w:r w:rsidR="00984DD1">
        <w:rPr>
          <w:rFonts w:eastAsia="Malgun Gothic"/>
          <w:lang w:eastAsia="ko-KR"/>
        </w:rPr>
        <w:t>s</w:t>
      </w:r>
      <w:r w:rsidRPr="0062080C">
        <w:rPr>
          <w:rFonts w:eastAsia="Malgun Gothic"/>
          <w:lang w:eastAsia="ko-KR"/>
        </w:rPr>
        <w:t xml:space="preserve"> for other aspects after further R</w:t>
      </w:r>
      <w:r w:rsidR="00984DD1">
        <w:rPr>
          <w:rFonts w:eastAsia="Malgun Gothic"/>
          <w:lang w:eastAsia="ko-KR"/>
        </w:rPr>
        <w:t>AN</w:t>
      </w:r>
      <w:r w:rsidRPr="0062080C">
        <w:rPr>
          <w:rFonts w:eastAsia="Malgun Gothic"/>
          <w:lang w:eastAsia="ko-KR"/>
        </w:rPr>
        <w:t xml:space="preserve">3 </w:t>
      </w:r>
      <w:r w:rsidR="00984DD1">
        <w:rPr>
          <w:rFonts w:eastAsia="Malgun Gothic"/>
          <w:lang w:eastAsia="ko-KR"/>
        </w:rPr>
        <w:t>has determined the full migration procedure</w:t>
      </w:r>
      <w:r w:rsidRPr="0062080C">
        <w:rPr>
          <w:rFonts w:eastAsia="Malgun Gothic"/>
          <w:lang w:eastAsia="ko-KR"/>
        </w:rPr>
        <w:t>. So we can keep CHO on the table and further discuss the enhancement from other aspects based on the raised issue/requirement.</w:t>
      </w:r>
    </w:p>
    <w:p w14:paraId="5C514EFF" w14:textId="77777777" w:rsidR="00C233F5" w:rsidRDefault="00C233F5" w:rsidP="00C233F5">
      <w:pPr>
        <w:rPr>
          <w:rFonts w:eastAsia="Malgun Gothic"/>
          <w:b/>
          <w:lang w:eastAsia="ko-KR"/>
        </w:rPr>
      </w:pPr>
      <w:r w:rsidRPr="00980094">
        <w:rPr>
          <w:rFonts w:eastAsia="Malgun Gothic"/>
          <w:b/>
          <w:lang w:eastAsia="ko-KR"/>
        </w:rPr>
        <w:t xml:space="preserve">Proposal </w:t>
      </w:r>
      <w:r>
        <w:rPr>
          <w:rFonts w:eastAsia="Malgun Gothic"/>
          <w:b/>
          <w:lang w:eastAsia="ko-KR"/>
        </w:rPr>
        <w:t>2</w:t>
      </w:r>
      <w:r w:rsidRPr="00980094">
        <w:rPr>
          <w:rFonts w:eastAsia="Malgun Gothic"/>
          <w:b/>
          <w:lang w:eastAsia="ko-KR"/>
        </w:rPr>
        <w:t>. RAN2 to keep the enhancement of CHO as a candidate solution for UE’s handover upon mIAB’s full migration and further discuss based on the raised issue/requirement.</w:t>
      </w:r>
    </w:p>
    <w:p w14:paraId="62544065" w14:textId="594E89AD" w:rsidR="00A7595B" w:rsidRPr="00C233F5" w:rsidRDefault="00A7595B" w:rsidP="00A7595B">
      <w:pPr>
        <w:rPr>
          <w:lang w:eastAsia="en-US"/>
        </w:rPr>
      </w:pPr>
    </w:p>
    <w:p w14:paraId="47726D07" w14:textId="60BF893E" w:rsidR="00A7595B" w:rsidRPr="00A7595B" w:rsidRDefault="00A7595B" w:rsidP="00A7595B">
      <w:pPr>
        <w:pStyle w:val="Heading2"/>
      </w:pPr>
      <w:r>
        <w:t>Introduction of RACH-less handover</w:t>
      </w:r>
    </w:p>
    <w:p w14:paraId="3D8562BC" w14:textId="316D6A7D" w:rsidR="00727C09" w:rsidRDefault="00151570" w:rsidP="00727C09">
      <w:pPr>
        <w:rPr>
          <w:rFonts w:eastAsia="Malgun Gothic"/>
          <w:lang w:eastAsia="ko-KR"/>
        </w:rPr>
      </w:pPr>
      <w:r>
        <w:rPr>
          <w:rFonts w:eastAsia="Malgun Gothic"/>
          <w:lang w:eastAsia="ko-KR"/>
        </w:rPr>
        <w:t>In RAN2#12</w:t>
      </w:r>
      <w:r w:rsidR="00431B30">
        <w:rPr>
          <w:rFonts w:eastAsia="Malgun Gothic"/>
          <w:lang w:eastAsia="ko-KR"/>
        </w:rPr>
        <w:t>3</w:t>
      </w:r>
      <w:r w:rsidR="00727C09">
        <w:rPr>
          <w:rFonts w:eastAsia="Malgun Gothic"/>
          <w:lang w:eastAsia="ko-KR"/>
        </w:rPr>
        <w:t xml:space="preserve"> meeting the </w:t>
      </w:r>
      <w:r w:rsidR="00431B30">
        <w:rPr>
          <w:rFonts w:eastAsia="Malgun Gothic"/>
          <w:lang w:eastAsia="ko-KR"/>
        </w:rPr>
        <w:t>following was agreed</w:t>
      </w:r>
      <w:r w:rsidR="00430993">
        <w:rPr>
          <w:rFonts w:eastAsia="Malgun Gothic"/>
          <w:lang w:eastAsia="ko-KR"/>
        </w:rPr>
        <w:t xml:space="preserve"> for mIAB</w:t>
      </w:r>
      <w:r w:rsidR="00727C09">
        <w:rPr>
          <w:rFonts w:eastAsia="Malgun Gothic"/>
          <w:lang w:eastAsia="ko-KR"/>
        </w:rPr>
        <w:t xml:space="preserve">: </w:t>
      </w:r>
    </w:p>
    <w:p w14:paraId="0A3EF0AA" w14:textId="77777777" w:rsidR="00431B30" w:rsidRDefault="00431B30" w:rsidP="00431B30">
      <w:pPr>
        <w:pStyle w:val="Agreement"/>
      </w:pPr>
      <w:r>
        <w:t>RACH-less HO to be supported for UEs connected to a mIAB node (intended case: DU migration)</w:t>
      </w:r>
    </w:p>
    <w:p w14:paraId="2BA353DE" w14:textId="77777777" w:rsidR="00431B30" w:rsidRDefault="00431B30" w:rsidP="00431B30">
      <w:pPr>
        <w:pStyle w:val="Agreement"/>
      </w:pPr>
      <w:r>
        <w:t xml:space="preserve">RACH-less HO for mIAB is expected to reuse most parts from other WI, such as NTN. </w:t>
      </w:r>
    </w:p>
    <w:p w14:paraId="33D548A3" w14:textId="77777777" w:rsidR="00431B30" w:rsidRDefault="00431B30" w:rsidP="00431B30">
      <w:pPr>
        <w:pStyle w:val="Agreement"/>
      </w:pPr>
      <w:r>
        <w:t>R2 assumes that RACH-less HO for mIAB can largely adopt the steps of the agreed NTN RACH-less HO procedure:</w:t>
      </w:r>
    </w:p>
    <w:p w14:paraId="185058A7" w14:textId="77777777" w:rsidR="00431B30" w:rsidRDefault="00431B30" w:rsidP="00431B30">
      <w:pPr>
        <w:pStyle w:val="Agreement"/>
        <w:numPr>
          <w:ilvl w:val="0"/>
          <w:numId w:val="0"/>
        </w:numPr>
        <w:ind w:left="1619"/>
      </w:pPr>
      <w:r>
        <w:t>1. Receive a RACH-less HO command which can include pre-allocated grant optionally</w:t>
      </w:r>
    </w:p>
    <w:p w14:paraId="5D65C46D" w14:textId="77777777" w:rsidR="00431B30" w:rsidRDefault="00431B30" w:rsidP="00431B30">
      <w:pPr>
        <w:pStyle w:val="Agreement"/>
        <w:numPr>
          <w:ilvl w:val="0"/>
          <w:numId w:val="0"/>
        </w:numPr>
        <w:ind w:left="1619"/>
      </w:pPr>
      <w:r>
        <w:t>2. Start time T304 for the target cell (RRC)</w:t>
      </w:r>
    </w:p>
    <w:p w14:paraId="242D678F" w14:textId="77777777" w:rsidR="00431B30" w:rsidRDefault="00431B30" w:rsidP="00431B30">
      <w:pPr>
        <w:pStyle w:val="Agreement"/>
        <w:numPr>
          <w:ilvl w:val="0"/>
          <w:numId w:val="0"/>
        </w:numPr>
        <w:ind w:left="1619"/>
      </w:pPr>
      <w:r>
        <w:t>3. Perform DL and UL synchronization.</w:t>
      </w:r>
    </w:p>
    <w:p w14:paraId="7CEAAA3E" w14:textId="77777777" w:rsidR="00431B30" w:rsidRDefault="00431B30" w:rsidP="00431B30">
      <w:pPr>
        <w:pStyle w:val="Agreement"/>
        <w:numPr>
          <w:ilvl w:val="0"/>
          <w:numId w:val="0"/>
        </w:numPr>
        <w:ind w:left="1619"/>
      </w:pPr>
      <w:r>
        <w:t>4. Start time alignment timer (MAC)</w:t>
      </w:r>
    </w:p>
    <w:p w14:paraId="51920FCC" w14:textId="77777777" w:rsidR="00431B30" w:rsidRDefault="00431B30" w:rsidP="00431B30">
      <w:pPr>
        <w:pStyle w:val="Agreement"/>
        <w:numPr>
          <w:ilvl w:val="0"/>
          <w:numId w:val="0"/>
        </w:numPr>
        <w:ind w:left="1619"/>
      </w:pPr>
      <w:r>
        <w:t>5. Monitor target cell PDCCH for dynamic grant if pre-allocated grant is not configured in RACH-less HO command (MAC, PHY)</w:t>
      </w:r>
    </w:p>
    <w:p w14:paraId="6B74E7F0" w14:textId="77777777" w:rsidR="00431B30" w:rsidRDefault="00431B30" w:rsidP="00431B30">
      <w:pPr>
        <w:pStyle w:val="Agreement"/>
        <w:numPr>
          <w:ilvl w:val="0"/>
          <w:numId w:val="0"/>
        </w:numPr>
        <w:ind w:left="1619"/>
      </w:pPr>
      <w:r>
        <w:t>6. Send initial UL transmission including RRCReconfigurationComplete message using the available UL grant (RRC, MAC, PHY)</w:t>
      </w:r>
    </w:p>
    <w:p w14:paraId="7EF2D26D" w14:textId="77777777" w:rsidR="00431B30" w:rsidRDefault="00431B30" w:rsidP="00431B30">
      <w:pPr>
        <w:pStyle w:val="Agreement"/>
        <w:numPr>
          <w:ilvl w:val="0"/>
          <w:numId w:val="0"/>
        </w:numPr>
        <w:ind w:left="1619"/>
      </w:pPr>
      <w:r>
        <w:t>7. Consider RACH-less HO is completed upon receiving NW configuration.</w:t>
      </w:r>
    </w:p>
    <w:p w14:paraId="447FA3B2" w14:textId="77777777" w:rsidR="00431B30" w:rsidRDefault="00431B30" w:rsidP="00431B30">
      <w:pPr>
        <w:pStyle w:val="Agreement"/>
        <w:numPr>
          <w:ilvl w:val="0"/>
          <w:numId w:val="0"/>
        </w:numPr>
        <w:ind w:left="1619"/>
      </w:pPr>
      <w:r>
        <w:t>8. Stop timer T304 for the target cell (RRC).</w:t>
      </w:r>
    </w:p>
    <w:p w14:paraId="23C49C7E" w14:textId="5350C61C" w:rsidR="00F37EB0" w:rsidRDefault="00F37EB0" w:rsidP="00A7595B">
      <w:pPr>
        <w:rPr>
          <w:rFonts w:eastAsia="Malgun Gothic"/>
          <w:lang w:val="en-GB" w:eastAsia="ko-KR"/>
        </w:rPr>
      </w:pPr>
    </w:p>
    <w:p w14:paraId="7846C003" w14:textId="1FA43AD7" w:rsidR="00431B30" w:rsidRDefault="00431B30" w:rsidP="00A7595B">
      <w:pPr>
        <w:rPr>
          <w:rFonts w:eastAsia="Malgun Gothic"/>
          <w:lang w:val="en-GB" w:eastAsia="ko-KR"/>
        </w:rPr>
      </w:pPr>
      <w:r>
        <w:rPr>
          <w:rFonts w:eastAsia="Malgun Gothic"/>
          <w:lang w:val="en-GB" w:eastAsia="ko-KR"/>
        </w:rPr>
        <w:t xml:space="preserve">Furthermore, in RAN2#123, NR NTN made further agreements: </w:t>
      </w:r>
    </w:p>
    <w:p w14:paraId="6D1CB948" w14:textId="77777777" w:rsidR="00431B30" w:rsidRDefault="00431B30" w:rsidP="00431B30">
      <w:pPr>
        <w:pStyle w:val="Doc-text2"/>
        <w:pBdr>
          <w:top w:val="single" w:sz="4" w:space="1" w:color="auto"/>
          <w:left w:val="single" w:sz="4" w:space="4" w:color="auto"/>
          <w:bottom w:val="single" w:sz="4" w:space="1" w:color="auto"/>
          <w:right w:val="single" w:sz="4" w:space="4" w:color="auto"/>
        </w:pBdr>
      </w:pPr>
      <w:r>
        <w:t>Agreements:</w:t>
      </w:r>
    </w:p>
    <w:p w14:paraId="01FCE19E" w14:textId="77777777" w:rsidR="00431B30" w:rsidRDefault="00431B30" w:rsidP="00431B30">
      <w:pPr>
        <w:pStyle w:val="Doc-text2"/>
        <w:numPr>
          <w:ilvl w:val="0"/>
          <w:numId w:val="35"/>
        </w:numPr>
        <w:pBdr>
          <w:top w:val="single" w:sz="4" w:space="1" w:color="auto"/>
          <w:left w:val="single" w:sz="4" w:space="4" w:color="auto"/>
          <w:bottom w:val="single" w:sz="4" w:space="1" w:color="auto"/>
          <w:right w:val="single" w:sz="4" w:space="4" w:color="auto"/>
        </w:pBdr>
      </w:pPr>
      <w:r w:rsidRPr="003D31B6">
        <w:t xml:space="preserve">Single beam can be indicated </w:t>
      </w:r>
      <w:r>
        <w:t xml:space="preserve">in HO command </w:t>
      </w:r>
      <w:r w:rsidRPr="003D31B6">
        <w:t>to monitor target cell PDCCH for dynamic grant for initial UL transmission</w:t>
      </w:r>
    </w:p>
    <w:p w14:paraId="5D681196" w14:textId="77777777" w:rsidR="00431B30" w:rsidRDefault="00431B30" w:rsidP="00431B30">
      <w:pPr>
        <w:pStyle w:val="Doc-text2"/>
        <w:numPr>
          <w:ilvl w:val="0"/>
          <w:numId w:val="35"/>
        </w:numPr>
        <w:pBdr>
          <w:top w:val="single" w:sz="4" w:space="1" w:color="auto"/>
          <w:left w:val="single" w:sz="4" w:space="4" w:color="auto"/>
          <w:bottom w:val="single" w:sz="4" w:space="1" w:color="auto"/>
          <w:right w:val="single" w:sz="4" w:space="4" w:color="auto"/>
        </w:pBdr>
      </w:pPr>
      <w:r>
        <w:t>The pre-allocated grant is provided with association to SSBs</w:t>
      </w:r>
    </w:p>
    <w:p w14:paraId="7C778141" w14:textId="77777777" w:rsidR="00431B30" w:rsidRDefault="00431B30" w:rsidP="00431B30">
      <w:pPr>
        <w:pStyle w:val="Doc-text2"/>
        <w:numPr>
          <w:ilvl w:val="0"/>
          <w:numId w:val="35"/>
        </w:numPr>
        <w:pBdr>
          <w:top w:val="single" w:sz="4" w:space="1" w:color="auto"/>
          <w:left w:val="single" w:sz="4" w:space="4" w:color="auto"/>
          <w:bottom w:val="single" w:sz="4" w:space="1" w:color="auto"/>
          <w:right w:val="single" w:sz="4" w:space="4" w:color="auto"/>
        </w:pBdr>
      </w:pPr>
      <w:r>
        <w:lastRenderedPageBreak/>
        <w:t xml:space="preserve">The </w:t>
      </w:r>
      <w:r w:rsidRPr="003D31B6">
        <w:t>mapping between type-1 CG and SSBs in CG-SDT can be the baseline of how to configure pre</w:t>
      </w:r>
      <w:r>
        <w:t>-allocated grant mapped to SSBs (can rediscuss in case of different input from RAN1)</w:t>
      </w:r>
    </w:p>
    <w:p w14:paraId="0FA6A2B0" w14:textId="77777777" w:rsidR="00431B30" w:rsidRDefault="00431B30" w:rsidP="00431B30">
      <w:pPr>
        <w:pStyle w:val="Doc-text2"/>
        <w:numPr>
          <w:ilvl w:val="0"/>
          <w:numId w:val="35"/>
        </w:numPr>
        <w:pBdr>
          <w:top w:val="single" w:sz="4" w:space="1" w:color="auto"/>
          <w:left w:val="single" w:sz="4" w:space="4" w:color="auto"/>
          <w:bottom w:val="single" w:sz="4" w:space="1" w:color="auto"/>
          <w:right w:val="single" w:sz="4" w:space="4" w:color="auto"/>
        </w:pBdr>
      </w:pPr>
      <w:r>
        <w:t>UE selects an SSB associated to the pre-allocated grant with RSRP above a configured threshold, use the selected SSB and the corresponding UL grant occasions for the initial UL transmission</w:t>
      </w:r>
    </w:p>
    <w:p w14:paraId="06BBE806" w14:textId="77777777" w:rsidR="00431B30" w:rsidRDefault="00431B30" w:rsidP="00431B30">
      <w:pPr>
        <w:pStyle w:val="Doc-text2"/>
        <w:numPr>
          <w:ilvl w:val="0"/>
          <w:numId w:val="35"/>
        </w:numPr>
        <w:pBdr>
          <w:top w:val="single" w:sz="4" w:space="1" w:color="auto"/>
          <w:left w:val="single" w:sz="4" w:space="4" w:color="auto"/>
          <w:bottom w:val="single" w:sz="4" w:space="1" w:color="auto"/>
          <w:right w:val="single" w:sz="4" w:space="4" w:color="auto"/>
        </w:pBdr>
      </w:pPr>
      <w:r>
        <w:t>ta-Report can be included in ServingCellConfigCommon in the RACH-less HO command</w:t>
      </w:r>
    </w:p>
    <w:p w14:paraId="71C0D67D" w14:textId="77777777" w:rsidR="00431B30" w:rsidRDefault="00431B30" w:rsidP="00431B30">
      <w:pPr>
        <w:pStyle w:val="Doc-text2"/>
        <w:numPr>
          <w:ilvl w:val="0"/>
          <w:numId w:val="35"/>
        </w:numPr>
        <w:pBdr>
          <w:top w:val="single" w:sz="4" w:space="1" w:color="auto"/>
          <w:left w:val="single" w:sz="4" w:space="4" w:color="auto"/>
          <w:bottom w:val="single" w:sz="4" w:space="1" w:color="auto"/>
          <w:right w:val="single" w:sz="4" w:space="4" w:color="auto"/>
        </w:pBdr>
      </w:pPr>
      <w:r>
        <w:t>RAN2 understands that i</w:t>
      </w:r>
      <w:r w:rsidRPr="00223E6E">
        <w:t xml:space="preserve">f pre-allocated grant is not configured and dynamic grant is used for first UL transmission, if UL HARQ mode is configured, </w:t>
      </w:r>
      <w:r>
        <w:t xml:space="preserve">HARQ mode A is recommended for </w:t>
      </w:r>
      <w:r w:rsidRPr="00223E6E">
        <w:t xml:space="preserve">the HARQ process </w:t>
      </w:r>
      <w:r>
        <w:t>(this is anyway up to NW implementation and there is no Stage2 and Stage3 spec impact)</w:t>
      </w:r>
    </w:p>
    <w:p w14:paraId="0DF16EFA" w14:textId="77777777" w:rsidR="00431B30" w:rsidRDefault="00431B30" w:rsidP="00431B30">
      <w:pPr>
        <w:pStyle w:val="Doc-text2"/>
        <w:numPr>
          <w:ilvl w:val="0"/>
          <w:numId w:val="35"/>
        </w:numPr>
        <w:pBdr>
          <w:top w:val="single" w:sz="4" w:space="1" w:color="auto"/>
          <w:left w:val="single" w:sz="4" w:space="4" w:color="auto"/>
          <w:bottom w:val="single" w:sz="4" w:space="1" w:color="auto"/>
          <w:right w:val="single" w:sz="4" w:space="4" w:color="auto"/>
        </w:pBdr>
      </w:pPr>
      <w:r w:rsidRPr="00D139FB">
        <w:t>The MAC entity applies the N_TA (value 0 or same as source cell) configured in the RACH-less HO command for the PTAG</w:t>
      </w:r>
      <w:r>
        <w:t xml:space="preserve">. FFS on when </w:t>
      </w:r>
      <w:r w:rsidRPr="00D139FB">
        <w:t xml:space="preserve">timerAlignmentTimer </w:t>
      </w:r>
      <w:r>
        <w:t>associated with this TAG starts</w:t>
      </w:r>
    </w:p>
    <w:p w14:paraId="023B2026" w14:textId="77777777" w:rsidR="00431B30" w:rsidRDefault="00431B30" w:rsidP="00431B30">
      <w:pPr>
        <w:pStyle w:val="Doc-text2"/>
        <w:numPr>
          <w:ilvl w:val="0"/>
          <w:numId w:val="35"/>
        </w:numPr>
        <w:pBdr>
          <w:top w:val="single" w:sz="4" w:space="1" w:color="auto"/>
          <w:left w:val="single" w:sz="4" w:space="4" w:color="auto"/>
          <w:bottom w:val="single" w:sz="4" w:space="1" w:color="auto"/>
          <w:right w:val="single" w:sz="4" w:space="4" w:color="auto"/>
        </w:pBdr>
      </w:pPr>
      <w:r>
        <w:t>If no SSB mapping to pre-allocated grant has RSRP above the threshold, fallback to RACH HO (with new SSB selection), while T304 is running</w:t>
      </w:r>
    </w:p>
    <w:p w14:paraId="7A721EEC" w14:textId="77777777" w:rsidR="00431B30" w:rsidRDefault="00431B30" w:rsidP="00A7595B">
      <w:pPr>
        <w:rPr>
          <w:rFonts w:eastAsia="Malgun Gothic"/>
          <w:lang w:val="en-GB" w:eastAsia="ko-KR"/>
        </w:rPr>
      </w:pPr>
    </w:p>
    <w:p w14:paraId="59EF0F44" w14:textId="06DFFFC7" w:rsidR="00431B30" w:rsidRDefault="00431B30" w:rsidP="00A7595B">
      <w:pPr>
        <w:rPr>
          <w:rFonts w:eastAsia="Malgun Gothic"/>
          <w:lang w:val="en-GB" w:eastAsia="ko-KR"/>
        </w:rPr>
      </w:pPr>
      <w:r>
        <w:rPr>
          <w:rFonts w:eastAsia="Malgun Gothic"/>
          <w:lang w:val="en-GB" w:eastAsia="ko-KR"/>
        </w:rPr>
        <w:t xml:space="preserve">In general, we believe that all of the agreements made in NR NTN, except for NTN-specific agreements such as ta-Report and HARQ-mode related (agreement 5 and 6 above). </w:t>
      </w:r>
    </w:p>
    <w:p w14:paraId="325BAA6A" w14:textId="0C7D2BCB" w:rsidR="00431B30" w:rsidRDefault="00431B30" w:rsidP="00431B30">
      <w:pPr>
        <w:rPr>
          <w:rFonts w:eastAsia="Malgun Gothic"/>
          <w:b/>
          <w:lang w:eastAsia="ko-KR"/>
        </w:rPr>
      </w:pPr>
      <w:r w:rsidRPr="00A67A85">
        <w:rPr>
          <w:rFonts w:eastAsia="Malgun Gothic"/>
          <w:b/>
          <w:lang w:eastAsia="ko-KR"/>
        </w:rPr>
        <w:t xml:space="preserve">Proposal </w:t>
      </w:r>
      <w:r>
        <w:rPr>
          <w:rFonts w:eastAsia="Malgun Gothic"/>
          <w:b/>
          <w:lang w:eastAsia="ko-KR"/>
        </w:rPr>
        <w:t>3</w:t>
      </w:r>
      <w:r w:rsidRPr="00A67A85">
        <w:rPr>
          <w:rFonts w:eastAsia="Malgun Gothic"/>
          <w:b/>
          <w:lang w:eastAsia="ko-KR"/>
        </w:rPr>
        <w:t xml:space="preserve">. </w:t>
      </w:r>
      <w:r>
        <w:rPr>
          <w:rFonts w:eastAsia="Malgun Gothic"/>
          <w:b/>
          <w:lang w:eastAsia="ko-KR"/>
        </w:rPr>
        <w:t xml:space="preserve">All agreements from NR NTN in RAN2#123 can be applicable to mIAB, except for NTN-specific agreements on ta-Report and HARQ mode. </w:t>
      </w:r>
    </w:p>
    <w:p w14:paraId="4F4140A5" w14:textId="169DD331" w:rsidR="002E3A3A" w:rsidRDefault="002E3B41" w:rsidP="00A7595B">
      <w:pPr>
        <w:rPr>
          <w:rFonts w:eastAsia="Malgun Gothic"/>
          <w:lang w:val="en-GB" w:eastAsia="ko-KR"/>
        </w:rPr>
      </w:pPr>
      <w:r>
        <w:rPr>
          <w:rFonts w:eastAsia="Malgun Gothic"/>
          <w:lang w:val="en-GB" w:eastAsia="ko-KR"/>
        </w:rPr>
        <w:t>As for differences in mIAB and NR NTN one possible differences would be</w:t>
      </w:r>
      <w:r w:rsidR="002E3A3A">
        <w:rPr>
          <w:rFonts w:eastAsia="Malgun Gothic"/>
          <w:lang w:val="en-GB" w:eastAsia="ko-KR"/>
        </w:rPr>
        <w:t xml:space="preserve"> how beams are handled. </w:t>
      </w:r>
      <w:r>
        <w:rPr>
          <w:rFonts w:eastAsia="Malgun Gothic"/>
          <w:lang w:val="en-GB" w:eastAsia="ko-KR"/>
        </w:rPr>
        <w:t>It has been agreed to introduce beam signaling and associated grants for RACH-less. For mIAB, the deployment will be quite different. In NTN, there is a need to signal multiple beams as the beam layout will differ in-between different cells. For mIAB however, the deployment is different as RACH-less is performed during mIAB-DU migration, where the mIAB-DU will still be at the same spot as before and the beams will likely be the same. Due to this deployment, w</w:t>
      </w:r>
      <w:r w:rsidR="00CE557B">
        <w:rPr>
          <w:rFonts w:eastAsia="Malgun Gothic"/>
          <w:lang w:val="en-GB" w:eastAsia="ko-KR"/>
        </w:rPr>
        <w:t xml:space="preserve">e think that it can be beneficial that the UE can perform RACH-less on the same target mIAB cell beam as in the source mIAB cell. </w:t>
      </w:r>
      <w:r>
        <w:rPr>
          <w:rFonts w:eastAsia="Malgun Gothic"/>
          <w:lang w:val="en-GB" w:eastAsia="ko-KR"/>
        </w:rPr>
        <w:t xml:space="preserve">We think that this can be done if the network does not signal any beam related information. </w:t>
      </w:r>
      <w:r w:rsidR="00C15466">
        <w:rPr>
          <w:rFonts w:eastAsia="Malgun Gothic"/>
          <w:lang w:val="en-GB" w:eastAsia="ko-KR"/>
        </w:rPr>
        <w:t>Therefore</w:t>
      </w:r>
      <w:r w:rsidR="006933C7">
        <w:rPr>
          <w:rFonts w:eastAsia="Malgun Gothic"/>
          <w:lang w:val="en-GB" w:eastAsia="ko-KR"/>
        </w:rPr>
        <w:t>,</w:t>
      </w:r>
      <w:r w:rsidR="00C15466">
        <w:rPr>
          <w:rFonts w:eastAsia="Malgun Gothic"/>
          <w:lang w:val="en-GB" w:eastAsia="ko-KR"/>
        </w:rPr>
        <w:t xml:space="preserve"> the UE uses the provided UL grant to transmit RRCReconfigurationComplete and C-RNTI MAC CE, using the same beam as in source cell. </w:t>
      </w:r>
      <w:r w:rsidR="006933C7">
        <w:rPr>
          <w:rFonts w:eastAsia="Malgun Gothic"/>
          <w:lang w:val="en-GB" w:eastAsia="ko-KR"/>
        </w:rPr>
        <w:t xml:space="preserve">Similar action occurs if the UE is not configured with any UL grant. </w:t>
      </w:r>
    </w:p>
    <w:p w14:paraId="6957FCB1" w14:textId="7392F6C8" w:rsidR="00445F66" w:rsidRDefault="001D4437" w:rsidP="00AB55FE">
      <w:pPr>
        <w:rPr>
          <w:rFonts w:eastAsia="Malgun Gothic"/>
          <w:b/>
          <w:lang w:eastAsia="ko-KR"/>
        </w:rPr>
      </w:pPr>
      <w:r w:rsidRPr="00A67A85">
        <w:rPr>
          <w:rFonts w:eastAsia="Malgun Gothic"/>
          <w:b/>
          <w:lang w:eastAsia="ko-KR"/>
        </w:rPr>
        <w:t xml:space="preserve">Proposal </w:t>
      </w:r>
      <w:r>
        <w:rPr>
          <w:rFonts w:eastAsia="Malgun Gothic"/>
          <w:b/>
          <w:lang w:eastAsia="ko-KR"/>
        </w:rPr>
        <w:t>4</w:t>
      </w:r>
      <w:r w:rsidRPr="00A67A85">
        <w:rPr>
          <w:rFonts w:eastAsia="Malgun Gothic"/>
          <w:b/>
          <w:lang w:eastAsia="ko-KR"/>
        </w:rPr>
        <w:t xml:space="preserve">. </w:t>
      </w:r>
      <w:r w:rsidR="00EC236F">
        <w:rPr>
          <w:rFonts w:eastAsia="Malgun Gothic"/>
          <w:b/>
          <w:lang w:eastAsia="ko-KR"/>
        </w:rPr>
        <w:t xml:space="preserve">If no explicit beam signaling in RACH-less configuration (as introduced by NR NTN or other), the UE applies the same beam for target mIAB cell as for source mIAB cell. </w:t>
      </w:r>
    </w:p>
    <w:p w14:paraId="2C6E0ABA" w14:textId="58AF3541" w:rsidR="00014AEB" w:rsidRDefault="00014AEB" w:rsidP="00AB55FE">
      <w:pPr>
        <w:rPr>
          <w:rFonts w:eastAsia="Malgun Gothic"/>
          <w:lang w:eastAsia="ko-KR"/>
        </w:rPr>
      </w:pPr>
      <w:r>
        <w:rPr>
          <w:rFonts w:eastAsia="Malgun Gothic"/>
          <w:lang w:eastAsia="ko-KR"/>
        </w:rPr>
        <w:t>While RACH-less can be very efficient it is also considerably more resource-intensive. T</w:t>
      </w:r>
      <w:r w:rsidR="00A55F69">
        <w:rPr>
          <w:rFonts w:eastAsia="Malgun Gothic"/>
          <w:lang w:eastAsia="ko-KR"/>
        </w:rPr>
        <w:t xml:space="preserve">his is especially true if per-SSB UL grant is introduced. </w:t>
      </w:r>
      <w:r w:rsidR="003C1418">
        <w:rPr>
          <w:rFonts w:eastAsia="Malgun Gothic"/>
          <w:lang w:eastAsia="ko-KR"/>
        </w:rPr>
        <w:t>Usually the T304 timer is used to supervise a handover before the handover fails and re-establishment is pursued. The difficulty with T304 when configuring it with RACH-less is that the larger the T304 the more resources will be used by a single UE, so the network may be forced to use a very low value, potentially rendering RACH-less not very useful.</w:t>
      </w:r>
      <w:r w:rsidR="00DB6E3A">
        <w:rPr>
          <w:rFonts w:eastAsia="Malgun Gothic"/>
          <w:lang w:eastAsia="ko-KR"/>
        </w:rPr>
        <w:t xml:space="preserve"> O</w:t>
      </w:r>
      <w:r w:rsidR="003C1418">
        <w:rPr>
          <w:rFonts w:eastAsia="Malgun Gothic"/>
          <w:lang w:eastAsia="ko-KR"/>
        </w:rPr>
        <w:t xml:space="preserve">ne solution would be to introduce a RACH-less validity timer, allowing for RACH-less to be performed only for a duration of the total handover time. </w:t>
      </w:r>
      <w:r w:rsidR="00CF58C2">
        <w:rPr>
          <w:rFonts w:eastAsia="Malgun Gothic"/>
          <w:lang w:eastAsia="ko-KR"/>
        </w:rPr>
        <w:t xml:space="preserve">If the UE has not completed the handover during this time, the UE performs RACH-based handover. </w:t>
      </w:r>
      <w:r w:rsidR="00D97774">
        <w:rPr>
          <w:rFonts w:eastAsia="Malgun Gothic"/>
          <w:lang w:eastAsia="ko-KR"/>
        </w:rPr>
        <w:t xml:space="preserve">This can also be useful in mIAB in case there are any difficulties in the mIAB DU migration, such as handovers taking longer, or difficult in keeping the synchronization during mIAB DU migration. </w:t>
      </w:r>
      <w:bookmarkStart w:id="0" w:name="_GoBack"/>
      <w:bookmarkEnd w:id="0"/>
    </w:p>
    <w:p w14:paraId="29F08940" w14:textId="49C63318" w:rsidR="00CF58C2" w:rsidRPr="00CF58C2" w:rsidRDefault="00CF58C2" w:rsidP="00AB55FE">
      <w:pPr>
        <w:rPr>
          <w:rFonts w:eastAsia="Malgun Gothic"/>
          <w:b/>
          <w:lang w:eastAsia="ko-KR"/>
        </w:rPr>
      </w:pPr>
      <w:r w:rsidRPr="00A67A85">
        <w:rPr>
          <w:rFonts w:eastAsia="Malgun Gothic"/>
          <w:b/>
          <w:lang w:eastAsia="ko-KR"/>
        </w:rPr>
        <w:t xml:space="preserve">Proposal </w:t>
      </w:r>
      <w:r>
        <w:rPr>
          <w:rFonts w:eastAsia="Malgun Gothic"/>
          <w:b/>
          <w:lang w:eastAsia="ko-KR"/>
        </w:rPr>
        <w:t>5</w:t>
      </w:r>
      <w:r w:rsidRPr="00A67A85">
        <w:rPr>
          <w:rFonts w:eastAsia="Malgun Gothic"/>
          <w:b/>
          <w:lang w:eastAsia="ko-KR"/>
        </w:rPr>
        <w:t xml:space="preserve">. </w:t>
      </w:r>
      <w:r>
        <w:rPr>
          <w:rFonts w:eastAsia="Malgun Gothic"/>
          <w:b/>
          <w:lang w:eastAsia="ko-KR"/>
        </w:rPr>
        <w:t xml:space="preserve">Introduce a RACH-less validity timer where upon expiry the UE performs RACH-based handover. </w:t>
      </w:r>
    </w:p>
    <w:p w14:paraId="6C4B88C2" w14:textId="7E1E6042" w:rsidR="00473E83" w:rsidRDefault="00473E83">
      <w:pPr>
        <w:pStyle w:val="Heading2"/>
      </w:pPr>
      <w:r>
        <w:t>CHO</w:t>
      </w:r>
      <w:r w:rsidR="00334493">
        <w:t xml:space="preserve"> event T1</w:t>
      </w:r>
    </w:p>
    <w:p w14:paraId="590F24E0" w14:textId="77777777" w:rsidR="00275223" w:rsidRDefault="00275223" w:rsidP="00275223">
      <w:pPr>
        <w:rPr>
          <w:lang w:val="en-GB" w:eastAsia="en-US"/>
        </w:rPr>
      </w:pPr>
      <w:r>
        <w:rPr>
          <w:lang w:val="en-GB" w:eastAsia="en-US"/>
        </w:rPr>
        <w:t xml:space="preserve">The condEventT1 was introduced in NR NTN to allow for timed handovers in CHO. This was deemed needed as it is considered to be a lot easy to predict when a handover is to occur in a non-terrestrial network owing to the predictable orbits of a satellite. Similarly, in mIAB the handovers may also be rather predictable, especially as the CU controls the mIAB DU that changes. The condEventT1 is defined as: </w:t>
      </w:r>
    </w:p>
    <w:tbl>
      <w:tblPr>
        <w:tblStyle w:val="TableGrid"/>
        <w:tblW w:w="0" w:type="auto"/>
        <w:tblLook w:val="04A0" w:firstRow="1" w:lastRow="0" w:firstColumn="1" w:lastColumn="0" w:noHBand="0" w:noVBand="1"/>
      </w:tblPr>
      <w:tblGrid>
        <w:gridCol w:w="9631"/>
      </w:tblGrid>
      <w:tr w:rsidR="00275223" w14:paraId="2144B527" w14:textId="77777777" w:rsidTr="00515063">
        <w:tc>
          <w:tcPr>
            <w:tcW w:w="9631" w:type="dxa"/>
          </w:tcPr>
          <w:p w14:paraId="350679F8" w14:textId="77777777" w:rsidR="00275223" w:rsidRPr="00AB55FE" w:rsidRDefault="00275223" w:rsidP="00515063">
            <w:r w:rsidRPr="00AB55FE">
              <w:t>5.5.4.16</w:t>
            </w:r>
            <w:r w:rsidRPr="00AB55FE">
              <w:tab/>
              <w:t>CondEvent T1 (Time measured at UE is within a duration from threshold)</w:t>
            </w:r>
          </w:p>
          <w:p w14:paraId="5481FBB4"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sz w:val="18"/>
              </w:rPr>
              <w:t>The UE shall:</w:t>
            </w:r>
          </w:p>
          <w:p w14:paraId="19A215B7"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sz w:val="18"/>
              </w:rPr>
              <w:t>1&gt;</w:t>
            </w:r>
            <w:r w:rsidRPr="00AB55FE">
              <w:rPr>
                <w:rFonts w:ascii="Times New Roman" w:hAnsi="Times New Roman" w:cs="Times New Roman"/>
                <w:sz w:val="18"/>
              </w:rPr>
              <w:tab/>
              <w:t>consider the entering condition for this event to be satisfied when condition T1-1, as specified below, is fulfilled;</w:t>
            </w:r>
          </w:p>
          <w:p w14:paraId="7A27C17A"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sz w:val="18"/>
              </w:rPr>
              <w:lastRenderedPageBreak/>
              <w:t>1&gt;</w:t>
            </w:r>
            <w:r w:rsidRPr="00AB55FE">
              <w:rPr>
                <w:rFonts w:ascii="Times New Roman" w:hAnsi="Times New Roman" w:cs="Times New Roman"/>
                <w:sz w:val="18"/>
              </w:rPr>
              <w:tab/>
              <w:t>consider the leaving condition for this event to be satisfied when condition T1-2, as specified below, is fulfilled;</w:t>
            </w:r>
          </w:p>
          <w:p w14:paraId="623667C5"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sz w:val="18"/>
                <w:lang w:eastAsia="ko-KR"/>
              </w:rPr>
              <w:t>Inequality</w:t>
            </w:r>
            <w:r w:rsidRPr="00AB55FE">
              <w:rPr>
                <w:rFonts w:ascii="Times New Roman" w:hAnsi="Times New Roman" w:cs="Times New Roman"/>
                <w:sz w:val="18"/>
              </w:rPr>
              <w:t xml:space="preserve"> T1-1 (Entering condition)</w:t>
            </w:r>
          </w:p>
          <w:p w14:paraId="5C37D38C" w14:textId="77777777" w:rsidR="00275223" w:rsidRPr="00AB55FE" w:rsidRDefault="00275223" w:rsidP="00515063">
            <w:pPr>
              <w:keepLines/>
              <w:tabs>
                <w:tab w:val="center" w:pos="4536"/>
                <w:tab w:val="right" w:pos="9072"/>
              </w:tabs>
              <w:spacing w:after="60"/>
              <w:rPr>
                <w:rFonts w:ascii="Times New Roman" w:hAnsi="Times New Roman" w:cs="Times New Roman"/>
                <w:sz w:val="18"/>
              </w:rPr>
            </w:pPr>
            <m:oMathPara>
              <m:oMathParaPr>
                <m:jc m:val="left"/>
              </m:oMathParaPr>
              <m:oMath>
                <m:r>
                  <w:rPr>
                    <w:rFonts w:ascii="Cambria Math" w:hAnsi="Cambria Math" w:cs="Times New Roman"/>
                    <w:sz w:val="18"/>
                  </w:rPr>
                  <m:t>Mt&gt;Thresh1</m:t>
                </m:r>
              </m:oMath>
            </m:oMathPara>
          </w:p>
          <w:p w14:paraId="64BB79AC"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sz w:val="18"/>
                <w:lang w:eastAsia="ko-KR"/>
              </w:rPr>
              <w:t>Inequality</w:t>
            </w:r>
            <w:r w:rsidRPr="00AB55FE">
              <w:rPr>
                <w:rFonts w:ascii="Times New Roman" w:hAnsi="Times New Roman" w:cs="Times New Roman"/>
                <w:sz w:val="18"/>
              </w:rPr>
              <w:t xml:space="preserve"> T1-2 (Leaving condition)</w:t>
            </w:r>
          </w:p>
          <w:p w14:paraId="0737B732" w14:textId="77777777" w:rsidR="00275223" w:rsidRPr="00AB55FE" w:rsidRDefault="00275223" w:rsidP="00515063">
            <w:pPr>
              <w:keepLines/>
              <w:tabs>
                <w:tab w:val="center" w:pos="4536"/>
                <w:tab w:val="right" w:pos="9072"/>
              </w:tabs>
              <w:spacing w:after="60"/>
              <w:rPr>
                <w:rFonts w:ascii="Times New Roman" w:hAnsi="Times New Roman" w:cs="Times New Roman"/>
                <w:sz w:val="18"/>
              </w:rPr>
            </w:pPr>
            <m:oMathPara>
              <m:oMathParaPr>
                <m:jc m:val="left"/>
              </m:oMathParaPr>
              <m:oMath>
                <m:r>
                  <w:rPr>
                    <w:rFonts w:ascii="Cambria Math" w:hAnsi="Cambria Math" w:cs="Times New Roman"/>
                    <w:sz w:val="18"/>
                  </w:rPr>
                  <m:t>Mt&gt;Thresh1+Duration</m:t>
                </m:r>
              </m:oMath>
            </m:oMathPara>
          </w:p>
          <w:p w14:paraId="7F7BA85E"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sz w:val="18"/>
              </w:rPr>
              <w:t>The variables in the formula are defined as follows:</w:t>
            </w:r>
          </w:p>
          <w:p w14:paraId="45F7089F"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b/>
                <w:i/>
                <w:sz w:val="18"/>
              </w:rPr>
              <w:t>Mt</w:t>
            </w:r>
            <w:r w:rsidRPr="00AB55FE">
              <w:rPr>
                <w:rFonts w:ascii="Times New Roman" w:hAnsi="Times New Roman" w:cs="Times New Roman"/>
                <w:b/>
                <w:sz w:val="18"/>
              </w:rPr>
              <w:t xml:space="preserve"> </w:t>
            </w:r>
            <w:r w:rsidRPr="00AB55FE">
              <w:rPr>
                <w:rFonts w:ascii="Times New Roman" w:hAnsi="Times New Roman" w:cs="Times New Roman"/>
                <w:sz w:val="18"/>
              </w:rPr>
              <w:t>is the time measured at UE.</w:t>
            </w:r>
          </w:p>
          <w:p w14:paraId="311299F3"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b/>
                <w:i/>
                <w:sz w:val="18"/>
              </w:rPr>
              <w:t>Thresh1</w:t>
            </w:r>
            <w:r w:rsidRPr="00AB55FE">
              <w:rPr>
                <w:rFonts w:ascii="Times New Roman" w:hAnsi="Times New Roman" w:cs="Times New Roman"/>
                <w:sz w:val="18"/>
              </w:rPr>
              <w:t xml:space="preserve"> is the threshold parameter for this event (i.e. </w:t>
            </w:r>
            <w:r w:rsidRPr="00AB55FE">
              <w:rPr>
                <w:rFonts w:ascii="Times New Roman" w:hAnsi="Times New Roman" w:cs="Times New Roman"/>
                <w:i/>
                <w:sz w:val="18"/>
                <w:lang w:eastAsia="zh-CN"/>
              </w:rPr>
              <w:t>t1</w:t>
            </w:r>
            <w:r w:rsidRPr="00AB55FE">
              <w:rPr>
                <w:rFonts w:ascii="Times New Roman" w:hAnsi="Times New Roman" w:cs="Times New Roman"/>
                <w:i/>
                <w:sz w:val="18"/>
              </w:rPr>
              <w:t xml:space="preserve">-Threshold </w:t>
            </w:r>
            <w:r w:rsidRPr="00AB55FE">
              <w:rPr>
                <w:rFonts w:ascii="Times New Roman" w:hAnsi="Times New Roman" w:cs="Times New Roman"/>
                <w:sz w:val="18"/>
              </w:rPr>
              <w:t>as defined within</w:t>
            </w:r>
            <w:r w:rsidRPr="00AB55FE">
              <w:rPr>
                <w:rFonts w:ascii="Times New Roman" w:hAnsi="Times New Roman" w:cs="Times New Roman"/>
                <w:i/>
                <w:sz w:val="18"/>
              </w:rPr>
              <w:t xml:space="preserve"> reportConfigNR</w:t>
            </w:r>
            <w:r w:rsidRPr="00AB55FE">
              <w:rPr>
                <w:rFonts w:ascii="Times New Roman" w:hAnsi="Times New Roman" w:cs="Times New Roman"/>
                <w:sz w:val="18"/>
              </w:rPr>
              <w:t xml:space="preserve"> for this event).</w:t>
            </w:r>
          </w:p>
          <w:p w14:paraId="31A8BF1E"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b/>
                <w:i/>
                <w:sz w:val="18"/>
              </w:rPr>
              <w:t>Duration</w:t>
            </w:r>
            <w:r w:rsidRPr="00AB55FE">
              <w:rPr>
                <w:rFonts w:ascii="Times New Roman" w:hAnsi="Times New Roman" w:cs="Times New Roman"/>
                <w:sz w:val="18"/>
              </w:rPr>
              <w:t xml:space="preserve"> is the duration parameter for this event (i.e. </w:t>
            </w:r>
            <w:r w:rsidRPr="00AB55FE">
              <w:rPr>
                <w:rFonts w:ascii="Times New Roman" w:hAnsi="Times New Roman" w:cs="Times New Roman"/>
                <w:i/>
                <w:sz w:val="18"/>
                <w:lang w:eastAsia="zh-CN"/>
              </w:rPr>
              <w:t>duration</w:t>
            </w:r>
            <w:r w:rsidRPr="00AB55FE">
              <w:rPr>
                <w:rFonts w:ascii="Times New Roman" w:hAnsi="Times New Roman" w:cs="Times New Roman"/>
                <w:i/>
                <w:sz w:val="18"/>
              </w:rPr>
              <w:t xml:space="preserve"> </w:t>
            </w:r>
            <w:r w:rsidRPr="00AB55FE">
              <w:rPr>
                <w:rFonts w:ascii="Times New Roman" w:hAnsi="Times New Roman" w:cs="Times New Roman"/>
                <w:sz w:val="18"/>
              </w:rPr>
              <w:t>as defined within</w:t>
            </w:r>
            <w:r w:rsidRPr="00AB55FE">
              <w:rPr>
                <w:rFonts w:ascii="Times New Roman" w:hAnsi="Times New Roman" w:cs="Times New Roman"/>
                <w:i/>
                <w:sz w:val="18"/>
              </w:rPr>
              <w:t xml:space="preserve"> reportConfigNR</w:t>
            </w:r>
            <w:r w:rsidRPr="00AB55FE">
              <w:rPr>
                <w:rFonts w:ascii="Times New Roman" w:hAnsi="Times New Roman" w:cs="Times New Roman"/>
                <w:sz w:val="18"/>
              </w:rPr>
              <w:t xml:space="preserve"> for this event).</w:t>
            </w:r>
          </w:p>
          <w:p w14:paraId="31B8B273"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b/>
                <w:i/>
                <w:sz w:val="18"/>
              </w:rPr>
              <w:t xml:space="preserve">Mt </w:t>
            </w:r>
            <w:r w:rsidRPr="00AB55FE">
              <w:rPr>
                <w:rFonts w:ascii="Times New Roman" w:hAnsi="Times New Roman" w:cs="Times New Roman"/>
                <w:sz w:val="18"/>
              </w:rPr>
              <w:t xml:space="preserve">is expressed in </w:t>
            </w:r>
            <w:r w:rsidRPr="00AB55FE">
              <w:rPr>
                <w:rFonts w:ascii="Times New Roman" w:hAnsi="Times New Roman" w:cs="Times New Roman"/>
                <w:i/>
                <w:iCs/>
                <w:sz w:val="18"/>
              </w:rPr>
              <w:t>ms</w:t>
            </w:r>
            <w:r w:rsidRPr="00AB55FE">
              <w:rPr>
                <w:rFonts w:ascii="Times New Roman" w:hAnsi="Times New Roman" w:cs="Times New Roman"/>
                <w:sz w:val="18"/>
              </w:rPr>
              <w:t>.</w:t>
            </w:r>
          </w:p>
          <w:p w14:paraId="15A2A35F"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b/>
                <w:i/>
                <w:sz w:val="18"/>
              </w:rPr>
              <w:t>Thres</w:t>
            </w:r>
            <w:r w:rsidRPr="00AB55FE">
              <w:rPr>
                <w:rFonts w:ascii="Times New Roman" w:hAnsi="Times New Roman" w:cs="Times New Roman"/>
                <w:b/>
                <w:i/>
                <w:sz w:val="18"/>
                <w:lang w:eastAsia="ko-KR"/>
              </w:rPr>
              <w:t>h1</w:t>
            </w:r>
            <w:r w:rsidRPr="00AB55FE">
              <w:rPr>
                <w:rFonts w:ascii="Times New Roman" w:hAnsi="Times New Roman" w:cs="Times New Roman"/>
                <w:b/>
                <w:i/>
                <w:sz w:val="18"/>
              </w:rPr>
              <w:t xml:space="preserve"> </w:t>
            </w:r>
            <w:r w:rsidRPr="00AB55FE">
              <w:rPr>
                <w:rFonts w:ascii="Times New Roman" w:hAnsi="Times New Roman" w:cs="Times New Roman"/>
                <w:sz w:val="18"/>
                <w:lang w:eastAsia="ko-KR"/>
              </w:rPr>
              <w:t>is</w:t>
            </w:r>
            <w:r w:rsidRPr="00AB55FE">
              <w:rPr>
                <w:rFonts w:ascii="Times New Roman" w:hAnsi="Times New Roman" w:cs="Times New Roman"/>
                <w:sz w:val="18"/>
              </w:rPr>
              <w:t xml:space="preserve"> expressed in the same unit as </w:t>
            </w:r>
            <w:r w:rsidRPr="00AB55FE">
              <w:rPr>
                <w:rFonts w:ascii="Times New Roman" w:hAnsi="Times New Roman" w:cs="Times New Roman"/>
                <w:b/>
                <w:i/>
                <w:sz w:val="18"/>
              </w:rPr>
              <w:t>Mt</w:t>
            </w:r>
            <w:r w:rsidRPr="00AB55FE">
              <w:rPr>
                <w:rFonts w:ascii="Times New Roman" w:hAnsi="Times New Roman" w:cs="Times New Roman"/>
                <w:sz w:val="18"/>
              </w:rPr>
              <w:t>.</w:t>
            </w:r>
          </w:p>
          <w:p w14:paraId="1B6232D4" w14:textId="77777777" w:rsidR="00275223" w:rsidRPr="000A0BEF" w:rsidRDefault="00275223" w:rsidP="00515063">
            <w:pPr>
              <w:spacing w:after="60"/>
              <w:rPr>
                <w:lang w:eastAsia="en-US"/>
              </w:rPr>
            </w:pPr>
            <w:r w:rsidRPr="00AB55FE">
              <w:rPr>
                <w:rFonts w:ascii="Times New Roman" w:hAnsi="Times New Roman" w:cs="Times New Roman"/>
                <w:b/>
                <w:i/>
                <w:sz w:val="18"/>
              </w:rPr>
              <w:t>Duration</w:t>
            </w:r>
            <w:r w:rsidRPr="00AB55FE">
              <w:rPr>
                <w:rFonts w:ascii="Times New Roman" w:hAnsi="Times New Roman" w:cs="Times New Roman"/>
                <w:sz w:val="18"/>
              </w:rPr>
              <w:t xml:space="preserve"> is expressed in the same unit as </w:t>
            </w:r>
            <w:r w:rsidRPr="00AB55FE">
              <w:rPr>
                <w:rFonts w:ascii="Times New Roman" w:hAnsi="Times New Roman" w:cs="Times New Roman"/>
                <w:b/>
                <w:i/>
                <w:sz w:val="18"/>
              </w:rPr>
              <w:t>Mt</w:t>
            </w:r>
            <w:r w:rsidRPr="00AB55FE">
              <w:rPr>
                <w:rFonts w:ascii="Times New Roman" w:hAnsi="Times New Roman" w:cs="Times New Roman"/>
                <w:sz w:val="18"/>
              </w:rPr>
              <w:t>.</w:t>
            </w:r>
          </w:p>
        </w:tc>
      </w:tr>
    </w:tbl>
    <w:p w14:paraId="63E64D3E" w14:textId="77777777" w:rsidR="00275223" w:rsidRDefault="00275223" w:rsidP="00275223">
      <w:pPr>
        <w:rPr>
          <w:lang w:val="en-GB" w:eastAsia="en-US"/>
        </w:rPr>
      </w:pPr>
    </w:p>
    <w:p w14:paraId="152E2695" w14:textId="4706DA10" w:rsidR="00275223" w:rsidRDefault="00275223" w:rsidP="00275223">
      <w:pPr>
        <w:rPr>
          <w:lang w:val="en-GB" w:eastAsia="en-US"/>
        </w:rPr>
      </w:pPr>
      <w:r>
        <w:rPr>
          <w:lang w:eastAsia="en-US"/>
        </w:rPr>
        <w:t>The condEventT1 is also required to be configured with another conditional handover event (condeventA3, condEventA4 or condEventA5), due to the risk of the condEventT1 causing a handover to be triggered to a cell with bad signal quality</w:t>
      </w:r>
      <w:r w:rsidR="00347221">
        <w:rPr>
          <w:lang w:eastAsia="en-US"/>
        </w:rPr>
        <w:t xml:space="preserve"> [2</w:t>
      </w:r>
      <w:r w:rsidR="00BA46AC">
        <w:rPr>
          <w:lang w:eastAsia="en-US"/>
        </w:rPr>
        <w:t>]</w:t>
      </w:r>
      <w:r>
        <w:rPr>
          <w:lang w:eastAsia="en-US"/>
        </w:rPr>
        <w:t xml:space="preserve">. </w:t>
      </w:r>
      <w:r>
        <w:rPr>
          <w:lang w:val="en-GB" w:eastAsia="en-US"/>
        </w:rPr>
        <w:t xml:space="preserve"> </w:t>
      </w:r>
    </w:p>
    <w:p w14:paraId="540EB783" w14:textId="21095A8A" w:rsidR="00473E83" w:rsidRDefault="0036422E" w:rsidP="00473E83">
      <w:pPr>
        <w:rPr>
          <w:lang w:val="en-GB" w:eastAsia="en-US"/>
        </w:rPr>
      </w:pPr>
      <w:r>
        <w:rPr>
          <w:lang w:val="en-GB" w:eastAsia="en-US"/>
        </w:rPr>
        <w:t xml:space="preserve">In RAN2#122 there was a discussion on the CHO event T1: </w:t>
      </w:r>
    </w:p>
    <w:p w14:paraId="5622FF4A" w14:textId="77777777" w:rsidR="0036422E" w:rsidRPr="0036422E" w:rsidRDefault="0036422E" w:rsidP="0036422E">
      <w:pPr>
        <w:pStyle w:val="Doc-text2"/>
        <w:ind w:left="363"/>
        <w:rPr>
          <w:i/>
        </w:rPr>
      </w:pPr>
      <w:r w:rsidRPr="0036422E">
        <w:rPr>
          <w:i/>
        </w:rPr>
        <w:t>Rapp suggest to discuss the cond HO event T1 that was left FFS</w:t>
      </w:r>
    </w:p>
    <w:p w14:paraId="17A88D0E" w14:textId="77777777" w:rsidR="0036422E" w:rsidRPr="0036422E" w:rsidRDefault="0036422E" w:rsidP="0036422E">
      <w:pPr>
        <w:pStyle w:val="Doc-text2"/>
        <w:ind w:left="726"/>
        <w:rPr>
          <w:i/>
        </w:rPr>
      </w:pPr>
      <w:r w:rsidRPr="0036422E">
        <w:rPr>
          <w:i/>
        </w:rPr>
        <w:t>-</w:t>
      </w:r>
      <w:r w:rsidRPr="0036422E">
        <w:rPr>
          <w:i/>
        </w:rPr>
        <w:tab/>
        <w:t xml:space="preserve">Chair wonder how the network can know if the UE has access to absolute time. </w:t>
      </w:r>
    </w:p>
    <w:p w14:paraId="38381D64" w14:textId="77777777" w:rsidR="0036422E" w:rsidRPr="0036422E" w:rsidRDefault="0036422E" w:rsidP="0036422E">
      <w:pPr>
        <w:pStyle w:val="Doc-text2"/>
        <w:ind w:left="726"/>
        <w:rPr>
          <w:i/>
        </w:rPr>
      </w:pPr>
      <w:r w:rsidRPr="0036422E">
        <w:rPr>
          <w:i/>
        </w:rPr>
        <w:t>-</w:t>
      </w:r>
      <w:r w:rsidRPr="0036422E">
        <w:rPr>
          <w:i/>
        </w:rPr>
        <w:tab/>
        <w:t xml:space="preserve">LGE think we can mandate that the UE is GNSS capable. </w:t>
      </w:r>
    </w:p>
    <w:p w14:paraId="5BCC4DDB" w14:textId="77777777" w:rsidR="0036422E" w:rsidRPr="0036422E" w:rsidRDefault="0036422E" w:rsidP="0036422E">
      <w:pPr>
        <w:pStyle w:val="Doc-text2"/>
        <w:ind w:left="726"/>
        <w:rPr>
          <w:i/>
        </w:rPr>
      </w:pPr>
      <w:r w:rsidRPr="0036422E">
        <w:rPr>
          <w:i/>
        </w:rPr>
        <w:t>-</w:t>
      </w:r>
      <w:r w:rsidRPr="0036422E">
        <w:rPr>
          <w:i/>
        </w:rPr>
        <w:tab/>
        <w:t xml:space="preserve">QC think that non-GNSS UEs can use SIB9. </w:t>
      </w:r>
    </w:p>
    <w:p w14:paraId="47D3C42B" w14:textId="77777777" w:rsidR="0036422E" w:rsidRPr="0036422E" w:rsidRDefault="0036422E" w:rsidP="0036422E">
      <w:pPr>
        <w:pStyle w:val="Doc-text2"/>
        <w:ind w:left="726"/>
        <w:rPr>
          <w:i/>
        </w:rPr>
      </w:pPr>
      <w:r w:rsidRPr="0036422E">
        <w:rPr>
          <w:i/>
        </w:rPr>
        <w:t>-</w:t>
      </w:r>
      <w:r w:rsidRPr="0036422E">
        <w:rPr>
          <w:i/>
        </w:rPr>
        <w:tab/>
        <w:t xml:space="preserve">CATT think timing may not be so important, this has not been clarified. Nokia think speading out handovers by this mechanism is not needed. </w:t>
      </w:r>
    </w:p>
    <w:p w14:paraId="221977E5" w14:textId="77777777" w:rsidR="0036422E" w:rsidRPr="0036422E" w:rsidRDefault="0036422E" w:rsidP="0036422E">
      <w:pPr>
        <w:pStyle w:val="Doc-text2"/>
        <w:ind w:left="726"/>
        <w:rPr>
          <w:i/>
        </w:rPr>
      </w:pPr>
      <w:r w:rsidRPr="0036422E">
        <w:rPr>
          <w:i/>
        </w:rPr>
        <w:t>-</w:t>
      </w:r>
      <w:r w:rsidRPr="0036422E">
        <w:rPr>
          <w:i/>
        </w:rPr>
        <w:tab/>
        <w:t>Chair: it seems the support is limited, and the benefits not so clear. However there is also some support and maybe impact is very low. If time, can maybe revisit (later, not next meeting)</w:t>
      </w:r>
    </w:p>
    <w:p w14:paraId="4619509A" w14:textId="77777777" w:rsidR="0036422E" w:rsidRPr="0036422E" w:rsidRDefault="0036422E" w:rsidP="0036422E">
      <w:pPr>
        <w:pStyle w:val="Agreement"/>
        <w:rPr>
          <w:i/>
        </w:rPr>
      </w:pPr>
      <w:r w:rsidRPr="0036422E">
        <w:rPr>
          <w:i/>
        </w:rPr>
        <w:t>No conclusion for now</w:t>
      </w:r>
    </w:p>
    <w:p w14:paraId="17B8A123" w14:textId="3567446D" w:rsidR="0036422E" w:rsidRDefault="0036422E" w:rsidP="00473E83">
      <w:pPr>
        <w:rPr>
          <w:lang w:val="en-GB" w:eastAsia="en-US"/>
        </w:rPr>
      </w:pPr>
    </w:p>
    <w:p w14:paraId="30243CE2" w14:textId="4316269F" w:rsidR="00FD39E8" w:rsidRDefault="00275223" w:rsidP="00473E83">
      <w:pPr>
        <w:rPr>
          <w:lang w:val="en-GB" w:eastAsia="en-US"/>
        </w:rPr>
      </w:pPr>
      <w:r>
        <w:rPr>
          <w:lang w:val="en-GB" w:eastAsia="en-US"/>
        </w:rPr>
        <w:t xml:space="preserve">In practice the feature likely has limited usefulness in mIAB scenario, because the mIAB scenario requires DU-CU signalling that might be less predictable compared to an NTN scenario, and the time-scales of NTN handover and mIAB CU migration might be very different. Due to this and the limited TUs, we propose that mIAB down-prioritize introducing CHO event T1. We believe that if there are still interest in introducing CHO event T1 for mIAB or other scenarios, we believe it to be more suitable to be introduced as a TEI.  </w:t>
      </w:r>
    </w:p>
    <w:p w14:paraId="7C9E39E3" w14:textId="5D3DE565" w:rsidR="007C3FAE" w:rsidRPr="00CF58C2" w:rsidRDefault="007C3FAE" w:rsidP="007C3FAE">
      <w:pPr>
        <w:rPr>
          <w:rFonts w:eastAsia="Malgun Gothic"/>
          <w:b/>
          <w:lang w:eastAsia="ko-KR"/>
        </w:rPr>
      </w:pPr>
      <w:r w:rsidRPr="00A67A85">
        <w:rPr>
          <w:rFonts w:eastAsia="Malgun Gothic"/>
          <w:b/>
          <w:lang w:eastAsia="ko-KR"/>
        </w:rPr>
        <w:t xml:space="preserve">Proposal </w:t>
      </w:r>
      <w:r w:rsidR="007C58AC">
        <w:rPr>
          <w:rFonts w:eastAsia="Malgun Gothic"/>
          <w:b/>
          <w:lang w:eastAsia="ko-KR"/>
        </w:rPr>
        <w:t>6</w:t>
      </w:r>
      <w:r w:rsidRPr="00A67A85">
        <w:rPr>
          <w:rFonts w:eastAsia="Malgun Gothic"/>
          <w:b/>
          <w:lang w:eastAsia="ko-KR"/>
        </w:rPr>
        <w:t xml:space="preserve">. </w:t>
      </w:r>
      <w:r>
        <w:rPr>
          <w:rFonts w:eastAsia="Malgun Gothic"/>
          <w:b/>
          <w:lang w:eastAsia="ko-KR"/>
        </w:rPr>
        <w:t xml:space="preserve">Down-prioritize CHO event T1 for mIAB scenario in Rel-18. </w:t>
      </w:r>
    </w:p>
    <w:p w14:paraId="65293EEF" w14:textId="638CEB9E" w:rsidR="00334493" w:rsidRDefault="00334493" w:rsidP="00334493">
      <w:pPr>
        <w:rPr>
          <w:rFonts w:eastAsia="Malgun Gothic"/>
          <w:b/>
          <w:lang w:eastAsia="ko-KR"/>
        </w:rPr>
      </w:pPr>
    </w:p>
    <w:p w14:paraId="0CD1DD0B" w14:textId="3037F85F" w:rsidR="002E3A3A" w:rsidRDefault="002D6891" w:rsidP="002E3A3A">
      <w:pPr>
        <w:pStyle w:val="Heading1"/>
      </w:pPr>
      <w:r>
        <w:t>IAB Capabilities</w:t>
      </w:r>
    </w:p>
    <w:p w14:paraId="6E402488" w14:textId="3C2276E1" w:rsidR="00DF6B31" w:rsidRDefault="00D02AF4" w:rsidP="00DF6B31">
      <w:pPr>
        <w:rPr>
          <w:lang w:val="en-GB" w:eastAsia="en-US"/>
        </w:rPr>
      </w:pPr>
      <w:r>
        <w:rPr>
          <w:lang w:val="en-GB" w:eastAsia="en-US"/>
        </w:rPr>
        <w:t>In the e-mail discussion on IAB capabilities “</w:t>
      </w:r>
      <w:r w:rsidRPr="00D02AF4">
        <w:rPr>
          <w:lang w:val="en-GB" w:eastAsia="en-US"/>
        </w:rPr>
        <w:t>[Post123][051][mIAB] Running CRs UE caps (Nokia)</w:t>
      </w:r>
      <w:r>
        <w:rPr>
          <w:lang w:val="en-GB" w:eastAsia="en-US"/>
        </w:rPr>
        <w:t xml:space="preserve">” there were a number of issues raised as seen below: </w:t>
      </w:r>
    </w:p>
    <w:p w14:paraId="7F7F14BA" w14:textId="3056D0B5" w:rsidR="005915D3" w:rsidRPr="00D02AF4" w:rsidRDefault="005915D3" w:rsidP="00DF6B31">
      <w:pPr>
        <w:rPr>
          <w:i/>
        </w:rPr>
      </w:pPr>
      <w:r w:rsidRPr="00D02AF4">
        <w:rPr>
          <w:b/>
          <w:bCs/>
          <w:i/>
        </w:rPr>
        <w:t>Ph2-Proposal 1</w:t>
      </w:r>
      <w:r w:rsidRPr="00D02AF4">
        <w:rPr>
          <w:i/>
        </w:rPr>
        <w:t>: RAN2 assumes mobile-IAB capability is introduced in Rel-18. FFS: if requirement for this capability is impacted by RAN3 decision to add/not add mobile IAB-node indication to Xn handover request. FFS: if any need to clarify with SA2 the intention of “for a MBSR node to operate as a MBSR” from clause 5.35A.1 of TS 23.501, i.e. whether a mobile IAB shall always include or optionally include mobileIAB-NodeIndication-r18 in Msg5.</w:t>
      </w:r>
    </w:p>
    <w:p w14:paraId="0A4B980F" w14:textId="3FBA6531" w:rsidR="00D02AF4" w:rsidRDefault="00C42164" w:rsidP="005915D3">
      <w:pPr>
        <w:rPr>
          <w:b/>
          <w:lang w:val="en-GB" w:eastAsia="en-US"/>
        </w:rPr>
      </w:pPr>
      <w:r w:rsidRPr="00C42164">
        <w:rPr>
          <w:b/>
          <w:highlight w:val="yellow"/>
          <w:lang w:val="en-GB" w:eastAsia="en-US"/>
        </w:rPr>
        <w:t>. . .</w:t>
      </w:r>
    </w:p>
    <w:p w14:paraId="6D60B558" w14:textId="68366849" w:rsidR="005915D3" w:rsidRPr="00D02AF4" w:rsidRDefault="005915D3" w:rsidP="005915D3">
      <w:pPr>
        <w:rPr>
          <w:i/>
        </w:rPr>
      </w:pPr>
      <w:r w:rsidRPr="00D02AF4">
        <w:rPr>
          <w:b/>
          <w:bCs/>
          <w:i/>
        </w:rPr>
        <w:t>Ph2-Proposal 6</w:t>
      </w:r>
      <w:r w:rsidRPr="00D02AF4">
        <w:rPr>
          <w:i/>
        </w:rPr>
        <w:t xml:space="preserve">: RAN2 should discuss the following options for a mobile-IAB node reporting DC capabilities: </w:t>
      </w:r>
    </w:p>
    <w:p w14:paraId="3219F12C" w14:textId="77777777" w:rsidR="005915D3" w:rsidRPr="00D02AF4" w:rsidRDefault="005915D3" w:rsidP="005915D3">
      <w:pPr>
        <w:ind w:left="568"/>
        <w:rPr>
          <w:i/>
        </w:rPr>
      </w:pPr>
      <w:r w:rsidRPr="00D02AF4">
        <w:rPr>
          <w:i/>
        </w:rPr>
        <w:t>O1: A mobile-IAB node is prohibited from reporting IAB MR-DC/NR-DC capabilities.</w:t>
      </w:r>
    </w:p>
    <w:p w14:paraId="2845F6BC" w14:textId="77777777" w:rsidR="005915D3" w:rsidRPr="00D02AF4" w:rsidRDefault="005915D3" w:rsidP="005915D3">
      <w:pPr>
        <w:ind w:left="568"/>
        <w:rPr>
          <w:i/>
        </w:rPr>
      </w:pPr>
      <w:r w:rsidRPr="00D02AF4">
        <w:rPr>
          <w:i/>
        </w:rPr>
        <w:t>O2: A mobile-IAB node may report IAB MR-DC/NR-DC capabilities, in which case a network shall ignore the parameters.</w:t>
      </w:r>
    </w:p>
    <w:p w14:paraId="1F17444B" w14:textId="77777777" w:rsidR="005915D3" w:rsidRPr="00D02AF4" w:rsidRDefault="005915D3" w:rsidP="005915D3">
      <w:pPr>
        <w:ind w:left="568"/>
        <w:rPr>
          <w:i/>
        </w:rPr>
      </w:pPr>
      <w:r w:rsidRPr="00D02AF4">
        <w:rPr>
          <w:i/>
        </w:rPr>
        <w:lastRenderedPageBreak/>
        <w:t>FFS: whether any Stage-3 impacts to TS 38.306.</w:t>
      </w:r>
    </w:p>
    <w:p w14:paraId="16F9CFDB" w14:textId="6CC8DA8C" w:rsidR="00D02AF4" w:rsidRDefault="00D02AF4" w:rsidP="000C713D">
      <w:pPr>
        <w:rPr>
          <w:rFonts w:eastAsia="Malgun Gothic"/>
          <w:lang w:val="en-GB" w:eastAsia="ko-KR"/>
        </w:rPr>
      </w:pPr>
      <w:r>
        <w:rPr>
          <w:rFonts w:eastAsia="Malgun Gothic"/>
          <w:lang w:val="en-GB" w:eastAsia="ko-KR"/>
        </w:rPr>
        <w:t xml:space="preserve">We believe that these in turn are two separate issues. The first issue is on whether there will be an “mIAB capability” and the second issue is how to deal with some inconsistencies on the definition of an mIAB node in relation to certain features. </w:t>
      </w:r>
    </w:p>
    <w:p w14:paraId="060D98DD" w14:textId="623BA858" w:rsidR="00D02AF4" w:rsidRPr="00295AB9" w:rsidRDefault="00D02AF4" w:rsidP="000C713D">
      <w:pPr>
        <w:rPr>
          <w:rFonts w:eastAsia="Malgun Gothic"/>
          <w:b/>
          <w:i/>
          <w:lang w:val="en-GB" w:eastAsia="ko-KR"/>
        </w:rPr>
      </w:pPr>
      <w:r w:rsidRPr="00295AB9">
        <w:rPr>
          <w:rFonts w:eastAsia="Malgun Gothic"/>
          <w:b/>
          <w:i/>
          <w:lang w:val="en-GB" w:eastAsia="ko-KR"/>
        </w:rPr>
        <w:t>General mIAB capability</w:t>
      </w:r>
      <w:r w:rsidR="00AB1D78" w:rsidRPr="00295AB9">
        <w:rPr>
          <w:rFonts w:eastAsia="Malgun Gothic"/>
          <w:b/>
          <w:i/>
          <w:lang w:val="en-GB" w:eastAsia="ko-KR"/>
        </w:rPr>
        <w:t xml:space="preserve"> bit</w:t>
      </w:r>
    </w:p>
    <w:p w14:paraId="2CAE1133" w14:textId="2E6CFFD5" w:rsidR="00D02AF4" w:rsidRDefault="00D02AF4" w:rsidP="000C713D">
      <w:pPr>
        <w:rPr>
          <w:rFonts w:eastAsia="Malgun Gothic"/>
          <w:lang w:val="en-GB" w:eastAsia="ko-KR"/>
        </w:rPr>
      </w:pPr>
      <w:r>
        <w:rPr>
          <w:rFonts w:eastAsia="Malgun Gothic"/>
          <w:lang w:val="en-GB" w:eastAsia="ko-KR"/>
        </w:rPr>
        <w:t>In the e-mail discussion it was discussed whether there is a need for a general mIAB capability or not. This stems from the fact that during a handover, the target donor gNB should have knowledge of whether the IAB node is mobile-IAB capable or just an “ordinary IAB”</w:t>
      </w:r>
      <w:r w:rsidR="00AB1D78">
        <w:rPr>
          <w:rFonts w:eastAsia="Malgun Gothic"/>
          <w:lang w:val="en-GB" w:eastAsia="ko-KR"/>
        </w:rPr>
        <w:t xml:space="preserve">. The important part is that the target CU is aware of the IAB identity, and if there are any other procedure outside of 1) UE capabilities, 2) indication in the Xn message HANDOVER REQUEST, then there is no issue either. </w:t>
      </w:r>
    </w:p>
    <w:p w14:paraId="7F7D2F5D" w14:textId="46ECAE90" w:rsidR="00AB1D78" w:rsidRDefault="00AB1D78" w:rsidP="000C713D">
      <w:pPr>
        <w:rPr>
          <w:rFonts w:eastAsia="Malgun Gothic"/>
          <w:lang w:val="en-GB" w:eastAsia="ko-KR"/>
        </w:rPr>
      </w:pPr>
      <w:r>
        <w:rPr>
          <w:rFonts w:eastAsia="Malgun Gothic"/>
          <w:lang w:val="en-GB" w:eastAsia="ko-KR"/>
        </w:rPr>
        <w:t xml:space="preserve">In RAN3 discussions, it has already been agreed that Mobile-IAB-Authorization status indication is included in Path Switch Request Ack message. This means that target CU can know that it is a mIAB node and that it is authorized by AMF. Furthermore, RAN3 is also discussing to introduce Mobile-IAB-Authorization status indication in Xn HANDOVER REQUEST. Therefore, we think that there is no need for a general mIAB capability bit that indicates that the IAB is </w:t>
      </w:r>
      <w:r w:rsidR="00571EA4">
        <w:rPr>
          <w:rFonts w:eastAsia="Malgun Gothic"/>
          <w:lang w:val="en-GB" w:eastAsia="ko-KR"/>
        </w:rPr>
        <w:t>m</w:t>
      </w:r>
      <w:r>
        <w:rPr>
          <w:rFonts w:eastAsia="Malgun Gothic"/>
          <w:lang w:val="en-GB" w:eastAsia="ko-KR"/>
        </w:rPr>
        <w:t xml:space="preserve">IAB-capable. </w:t>
      </w:r>
    </w:p>
    <w:p w14:paraId="4516A3DD" w14:textId="0590F383" w:rsidR="00AB1D78" w:rsidRPr="00CF58C2" w:rsidRDefault="00AB1D78" w:rsidP="00AB1D78">
      <w:pPr>
        <w:rPr>
          <w:rFonts w:eastAsia="Malgun Gothic"/>
          <w:b/>
          <w:lang w:eastAsia="ko-KR"/>
        </w:rPr>
      </w:pPr>
      <w:r w:rsidRPr="00A67A85">
        <w:rPr>
          <w:rFonts w:eastAsia="Malgun Gothic"/>
          <w:b/>
          <w:lang w:eastAsia="ko-KR"/>
        </w:rPr>
        <w:t xml:space="preserve">Proposal </w:t>
      </w:r>
      <w:r>
        <w:rPr>
          <w:rFonts w:eastAsia="Malgun Gothic"/>
          <w:b/>
          <w:lang w:eastAsia="ko-KR"/>
        </w:rPr>
        <w:t>7</w:t>
      </w:r>
      <w:r w:rsidRPr="00A67A85">
        <w:rPr>
          <w:rFonts w:eastAsia="Malgun Gothic"/>
          <w:b/>
          <w:lang w:eastAsia="ko-KR"/>
        </w:rPr>
        <w:t xml:space="preserve">. </w:t>
      </w:r>
      <w:r w:rsidR="00571EA4">
        <w:rPr>
          <w:rFonts w:eastAsia="Malgun Gothic"/>
          <w:b/>
          <w:lang w:eastAsia="ko-KR"/>
        </w:rPr>
        <w:t>RAN2 does not introduce</w:t>
      </w:r>
      <w:r>
        <w:rPr>
          <w:rFonts w:eastAsia="Malgun Gothic"/>
          <w:b/>
          <w:lang w:eastAsia="ko-KR"/>
        </w:rPr>
        <w:t xml:space="preserve"> general mIAB capability bit for the purpose of mIAB identification during mobility as RAN3 has already introduced procedures that solves the underlying issue. </w:t>
      </w:r>
    </w:p>
    <w:p w14:paraId="24604D8C" w14:textId="28D19731" w:rsidR="00D02AF4" w:rsidRPr="00295AB9" w:rsidRDefault="00AB1D78" w:rsidP="000C713D">
      <w:pPr>
        <w:rPr>
          <w:rFonts w:eastAsia="Malgun Gothic"/>
          <w:b/>
          <w:i/>
          <w:lang w:val="en-GB" w:eastAsia="ko-KR"/>
        </w:rPr>
      </w:pPr>
      <w:r w:rsidRPr="00295AB9">
        <w:rPr>
          <w:rFonts w:eastAsia="Malgun Gothic"/>
          <w:b/>
          <w:i/>
          <w:lang w:val="en-GB" w:eastAsia="ko-KR"/>
        </w:rPr>
        <w:t>mIAB not “acting” as a mobile IAB and “down-grading” of capabilities</w:t>
      </w:r>
    </w:p>
    <w:p w14:paraId="67C82134" w14:textId="7E8CD796" w:rsidR="00550DC0" w:rsidRPr="00550DC0" w:rsidRDefault="00AB1D78" w:rsidP="00550DC0">
      <w:pPr>
        <w:rPr>
          <w:rFonts w:eastAsia="Malgun Gothic"/>
          <w:lang w:val="en-GB" w:eastAsia="ko-KR"/>
        </w:rPr>
      </w:pPr>
      <w:r>
        <w:rPr>
          <w:rFonts w:eastAsia="Malgun Gothic"/>
          <w:lang w:val="en-GB" w:eastAsia="ko-KR"/>
        </w:rPr>
        <w:t xml:space="preserve">The second issue is about whether the UE is </w:t>
      </w:r>
      <w:r w:rsidR="001E300A">
        <w:rPr>
          <w:rFonts w:eastAsia="Malgun Gothic"/>
          <w:lang w:val="en-GB" w:eastAsia="ko-KR"/>
        </w:rPr>
        <w:t>allowed to not “act” as a mobile IAB. Initially, we do not see any reason why a mobile IAB would be mobile IAB-capable but choose to not act as it. The only potential use case of such operation would be if there are restrictions on certain mIAB operations compared to a Rel-16 or Rel-17 IAB. According to Stage 2 it appears that such restrictions are in place</w:t>
      </w:r>
      <w:r w:rsidR="00C84681">
        <w:rPr>
          <w:rFonts w:eastAsia="Malgun Gothic"/>
          <w:lang w:val="en-GB" w:eastAsia="ko-KR"/>
        </w:rPr>
        <w:t xml:space="preserve"> [</w:t>
      </w:r>
      <w:r w:rsidR="00347221">
        <w:rPr>
          <w:rFonts w:eastAsia="Malgun Gothic"/>
          <w:lang w:val="en-GB" w:eastAsia="ko-KR"/>
        </w:rPr>
        <w:t>3</w:t>
      </w:r>
      <w:r w:rsidR="00C84681">
        <w:rPr>
          <w:rFonts w:eastAsia="Malgun Gothic"/>
          <w:lang w:val="en-GB" w:eastAsia="ko-KR"/>
        </w:rPr>
        <w:t>]</w:t>
      </w:r>
      <w:r w:rsidR="001E300A">
        <w:rPr>
          <w:rFonts w:eastAsia="Malgun Gothic"/>
          <w:lang w:val="en-GB" w:eastAsia="ko-KR"/>
        </w:rPr>
        <w:t xml:space="preserve">: </w:t>
      </w:r>
      <w:r w:rsidR="00550DC0" w:rsidRPr="00550DC0">
        <w:rPr>
          <w:rFonts w:ascii="Times New Roman" w:eastAsia="SimSun" w:hAnsi="Times New Roman" w:cs="Times New Roman"/>
          <w:color w:val="FF0000"/>
          <w:szCs w:val="20"/>
          <w:lang w:val="en-GB" w:eastAsia="en-US"/>
        </w:rPr>
        <w:t xml:space="preserve">. </w:t>
      </w:r>
    </w:p>
    <w:p w14:paraId="03AEAEB2" w14:textId="77777777" w:rsidR="00550DC0" w:rsidRPr="00550DC0" w:rsidRDefault="00550DC0" w:rsidP="00550DC0">
      <w:pPr>
        <w:numPr>
          <w:ilvl w:val="0"/>
          <w:numId w:val="36"/>
        </w:numPr>
        <w:overflowPunct w:val="0"/>
        <w:autoSpaceDE w:val="0"/>
        <w:autoSpaceDN w:val="0"/>
        <w:adjustRightInd w:val="0"/>
        <w:textAlignment w:val="baseline"/>
        <w:rPr>
          <w:rFonts w:ascii="Times New Roman" w:eastAsia="SimSun" w:hAnsi="Times New Roman" w:cs="Times New Roman"/>
          <w:i/>
          <w:szCs w:val="20"/>
          <w:lang w:val="en-GB" w:eastAsia="zh-CN"/>
        </w:rPr>
      </w:pPr>
      <w:r w:rsidRPr="00550DC0">
        <w:rPr>
          <w:rFonts w:ascii="Times New Roman" w:eastAsia="SimSun" w:hAnsi="Times New Roman" w:cs="Times New Roman"/>
          <w:i/>
          <w:szCs w:val="20"/>
          <w:lang w:val="en-GB" w:eastAsia="zh-CN"/>
        </w:rPr>
        <w:t>Dualconnectivity is not supported for the mobile IAB-MT.</w:t>
      </w:r>
    </w:p>
    <w:p w14:paraId="2E31610D" w14:textId="71A2FBD3" w:rsidR="0091047A" w:rsidRDefault="001E300A" w:rsidP="000C713D">
      <w:pPr>
        <w:rPr>
          <w:rFonts w:eastAsia="Malgun Gothic"/>
          <w:lang w:val="en-GB" w:eastAsia="ko-KR"/>
        </w:rPr>
      </w:pPr>
      <w:r>
        <w:rPr>
          <w:rFonts w:eastAsia="Malgun Gothic"/>
          <w:lang w:val="en-GB" w:eastAsia="ko-KR"/>
        </w:rPr>
        <w:t>As seen</w:t>
      </w:r>
      <w:r w:rsidR="0091047A">
        <w:rPr>
          <w:rFonts w:eastAsia="Malgun Gothic"/>
          <w:lang w:val="en-GB" w:eastAsia="ko-KR"/>
        </w:rPr>
        <w:t xml:space="preserve"> above</w:t>
      </w:r>
      <w:r>
        <w:rPr>
          <w:rFonts w:eastAsia="Malgun Gothic"/>
          <w:lang w:val="en-GB" w:eastAsia="ko-KR"/>
        </w:rPr>
        <w:t>, this case</w:t>
      </w:r>
      <w:r w:rsidR="00806B0D">
        <w:rPr>
          <w:rFonts w:eastAsia="Malgun Gothic"/>
          <w:lang w:val="en-GB" w:eastAsia="ko-KR"/>
        </w:rPr>
        <w:t xml:space="preserve"> is</w:t>
      </w:r>
      <w:r w:rsidR="0091047A">
        <w:rPr>
          <w:rFonts w:eastAsia="Malgun Gothic"/>
          <w:lang w:val="en-GB" w:eastAsia="ko-KR"/>
        </w:rPr>
        <w:t xml:space="preserve"> specific</w:t>
      </w:r>
      <w:r w:rsidR="00806B0D">
        <w:rPr>
          <w:rFonts w:eastAsia="Malgun Gothic"/>
          <w:lang w:val="en-GB" w:eastAsia="ko-KR"/>
        </w:rPr>
        <w:t>ally</w:t>
      </w:r>
      <w:r>
        <w:rPr>
          <w:rFonts w:eastAsia="Malgun Gothic"/>
          <w:lang w:val="en-GB" w:eastAsia="ko-KR"/>
        </w:rPr>
        <w:t xml:space="preserve"> discussed in </w:t>
      </w:r>
      <w:r w:rsidR="0091047A">
        <w:rPr>
          <w:rFonts w:eastAsia="Malgun Gothic"/>
          <w:lang w:val="en-GB" w:eastAsia="ko-KR"/>
        </w:rPr>
        <w:t xml:space="preserve">the e-mail discussion related to DC capabilities. The proposed way forward is either that mobile IAB does not report IAB MR-DC/NR-DC capabilities or mobile IAB reports MR-DC/NR-DC capabilities. </w:t>
      </w:r>
      <w:r>
        <w:rPr>
          <w:rFonts w:eastAsia="Malgun Gothic"/>
          <w:lang w:val="en-GB" w:eastAsia="ko-KR"/>
        </w:rPr>
        <w:t xml:space="preserve"> </w:t>
      </w:r>
    </w:p>
    <w:p w14:paraId="52FA29F5" w14:textId="5DEEF43A" w:rsidR="0091047A" w:rsidRDefault="0091047A" w:rsidP="000C713D">
      <w:pPr>
        <w:rPr>
          <w:rFonts w:eastAsia="Malgun Gothic"/>
          <w:lang w:val="en-GB" w:eastAsia="ko-KR"/>
        </w:rPr>
      </w:pPr>
      <w:r>
        <w:rPr>
          <w:rFonts w:eastAsia="Malgun Gothic"/>
          <w:lang w:val="en-GB" w:eastAsia="ko-KR"/>
        </w:rPr>
        <w:t>If there are any possibilities that an mIAB-capable IAB node</w:t>
      </w:r>
      <w:r w:rsidR="00B8471B">
        <w:rPr>
          <w:rFonts w:eastAsia="Malgun Gothic"/>
          <w:lang w:val="en-GB" w:eastAsia="ko-KR"/>
        </w:rPr>
        <w:t xml:space="preserve"> may sometimes</w:t>
      </w:r>
      <w:r>
        <w:rPr>
          <w:rFonts w:eastAsia="Malgun Gothic"/>
          <w:lang w:val="en-GB" w:eastAsia="ko-KR"/>
        </w:rPr>
        <w:t xml:space="preserve"> act as a mIAB and sometimes as a legacy IAB node, then it is important that the IAB node does not report different capabilities to different nodes. This is important as the capabilities may be stored in the core network, and changing them may cause serious issues. Therefore, regardless, the mIAB node does always report the MR-DC/NR-DC capabilities, but we also think that there does not need to be any requirements for network to ignore the capabilities. </w:t>
      </w:r>
    </w:p>
    <w:p w14:paraId="01137647" w14:textId="24DA8969" w:rsidR="0091047A" w:rsidRPr="00CF58C2" w:rsidRDefault="0091047A" w:rsidP="0091047A">
      <w:pPr>
        <w:rPr>
          <w:rFonts w:eastAsia="Malgun Gothic"/>
          <w:b/>
          <w:lang w:eastAsia="ko-KR"/>
        </w:rPr>
      </w:pPr>
      <w:r w:rsidRPr="00A67A85">
        <w:rPr>
          <w:rFonts w:eastAsia="Malgun Gothic"/>
          <w:b/>
          <w:lang w:eastAsia="ko-KR"/>
        </w:rPr>
        <w:t xml:space="preserve">Proposal </w:t>
      </w:r>
      <w:r w:rsidR="00855A8B">
        <w:rPr>
          <w:rFonts w:eastAsia="Malgun Gothic"/>
          <w:b/>
          <w:lang w:eastAsia="ko-KR"/>
        </w:rPr>
        <w:t>8</w:t>
      </w:r>
      <w:r w:rsidRPr="00A67A85">
        <w:rPr>
          <w:rFonts w:eastAsia="Malgun Gothic"/>
          <w:b/>
          <w:lang w:eastAsia="ko-KR"/>
        </w:rPr>
        <w:t xml:space="preserve">. </w:t>
      </w:r>
      <w:r w:rsidR="00855A8B">
        <w:rPr>
          <w:rFonts w:eastAsia="Malgun Gothic"/>
          <w:b/>
          <w:lang w:eastAsia="ko-KR"/>
        </w:rPr>
        <w:t>mIAB indicates MR-DC/NR-DC capabilities as implemented by the IAB node. No requirements f</w:t>
      </w:r>
      <w:r w:rsidR="00571EA4">
        <w:rPr>
          <w:rFonts w:eastAsia="Malgun Gothic"/>
          <w:b/>
          <w:lang w:eastAsia="ko-KR"/>
        </w:rPr>
        <w:t>o</w:t>
      </w:r>
      <w:r w:rsidR="00855A8B">
        <w:rPr>
          <w:rFonts w:eastAsia="Malgun Gothic"/>
          <w:b/>
          <w:lang w:eastAsia="ko-KR"/>
        </w:rPr>
        <w:t>r the network to ignore the MR-DC/NR-DC capabilities</w:t>
      </w:r>
      <w:r>
        <w:rPr>
          <w:rFonts w:eastAsia="Malgun Gothic"/>
          <w:b/>
          <w:lang w:eastAsia="ko-KR"/>
        </w:rPr>
        <w:t xml:space="preserve">. </w:t>
      </w:r>
    </w:p>
    <w:p w14:paraId="7943303E" w14:textId="4AAE27FC" w:rsidR="00855A8B" w:rsidRDefault="0091047A" w:rsidP="000C713D">
      <w:pPr>
        <w:rPr>
          <w:rFonts w:eastAsia="Malgun Gothic"/>
          <w:lang w:val="en-GB" w:eastAsia="ko-KR"/>
        </w:rPr>
      </w:pPr>
      <w:r>
        <w:rPr>
          <w:rFonts w:eastAsia="Malgun Gothic"/>
          <w:lang w:val="en-GB" w:eastAsia="ko-KR"/>
        </w:rPr>
        <w:t xml:space="preserve">One central question that needs to be </w:t>
      </w:r>
      <w:r w:rsidR="00855A8B">
        <w:rPr>
          <w:rFonts w:eastAsia="Malgun Gothic"/>
          <w:lang w:val="en-GB" w:eastAsia="ko-KR"/>
        </w:rPr>
        <w:t xml:space="preserve">decided in mIAB is the relation to previous releases. In Rel-18, dual connectivity is down-prioritized, but it could for instance be plausible that a manufacturer has implemented IAB dual connectivity features, and then wants to upgrade the IAB node to a Rel-18 mIAB node. In our understanding, the manufacturer should not have to “down-grade” the IAB node, but mIAB should rather be an add-on. Similarly, if an operator purchases a mIAB node, then it is possible that this node may be used as a stationary node, and it should not have to “re-configure” the IAB node to be stationary. </w:t>
      </w:r>
      <w:r w:rsidR="00F43651">
        <w:rPr>
          <w:rFonts w:eastAsia="Malgun Gothic"/>
          <w:lang w:val="en-GB" w:eastAsia="ko-KR"/>
        </w:rPr>
        <w:t xml:space="preserve">We think that this should be discussed to make mIAB as easy to use as possible for an operator. </w:t>
      </w:r>
      <w:r w:rsidR="00855A8B">
        <w:rPr>
          <w:rFonts w:eastAsia="Malgun Gothic"/>
          <w:lang w:val="en-GB" w:eastAsia="ko-KR"/>
        </w:rPr>
        <w:t xml:space="preserve"> </w:t>
      </w:r>
    </w:p>
    <w:p w14:paraId="721AC95C" w14:textId="2F470C83" w:rsidR="000C713D" w:rsidRPr="008A113A" w:rsidRDefault="00855A8B" w:rsidP="000C713D">
      <w:pPr>
        <w:rPr>
          <w:rFonts w:eastAsia="Malgun Gothic"/>
          <w:b/>
          <w:lang w:eastAsia="ko-KR"/>
        </w:rPr>
      </w:pPr>
      <w:r w:rsidRPr="00A67A85">
        <w:rPr>
          <w:rFonts w:eastAsia="Malgun Gothic"/>
          <w:b/>
          <w:lang w:eastAsia="ko-KR"/>
        </w:rPr>
        <w:t xml:space="preserve">Proposal </w:t>
      </w:r>
      <w:r>
        <w:rPr>
          <w:rFonts w:eastAsia="Malgun Gothic"/>
          <w:b/>
          <w:lang w:eastAsia="ko-KR"/>
        </w:rPr>
        <w:t>9</w:t>
      </w:r>
      <w:r w:rsidRPr="00A67A85">
        <w:rPr>
          <w:rFonts w:eastAsia="Malgun Gothic"/>
          <w:b/>
          <w:lang w:eastAsia="ko-KR"/>
        </w:rPr>
        <w:t xml:space="preserve">. </w:t>
      </w:r>
      <w:r>
        <w:rPr>
          <w:rFonts w:eastAsia="Malgun Gothic"/>
          <w:b/>
          <w:lang w:eastAsia="ko-KR"/>
        </w:rPr>
        <w:t xml:space="preserve">RAN2 to discuss IAB Rel-16/Rel-17 relation to mIAB. </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3B43FCF0" w14:textId="77777777" w:rsidR="002D6891" w:rsidRPr="00430993" w:rsidRDefault="002D6891" w:rsidP="002D6891">
      <w:pPr>
        <w:rPr>
          <w:rFonts w:eastAsia="Malgun Gothic"/>
          <w:b/>
          <w:lang w:eastAsia="ko-KR"/>
        </w:rPr>
      </w:pPr>
      <w:r w:rsidRPr="00430993">
        <w:rPr>
          <w:rFonts w:eastAsia="Malgun Gothic"/>
          <w:b/>
          <w:lang w:eastAsia="ko-KR"/>
        </w:rPr>
        <w:t>Observation 1. In any case, turning on the target cell should be before the UE attempts a handover to avoid handover failure.</w:t>
      </w:r>
    </w:p>
    <w:p w14:paraId="3A4B56BC" w14:textId="77777777" w:rsidR="002D6891" w:rsidRPr="00430993" w:rsidRDefault="002D6891" w:rsidP="002D6891">
      <w:pPr>
        <w:rPr>
          <w:rFonts w:eastAsia="Malgun Gothic"/>
          <w:lang w:eastAsia="ko-KR"/>
        </w:rPr>
      </w:pPr>
      <w:r w:rsidRPr="00430993">
        <w:rPr>
          <w:rFonts w:eastAsia="Malgun Gothic"/>
          <w:b/>
          <w:lang w:eastAsia="ko-KR"/>
        </w:rPr>
        <w:lastRenderedPageBreak/>
        <w:t>Observation 2. Any type of handover command needs to be given to the UE via the source cell.</w:t>
      </w:r>
    </w:p>
    <w:p w14:paraId="119F1B5C" w14:textId="77777777" w:rsidR="007217A0" w:rsidRPr="00F97E01" w:rsidRDefault="007217A0" w:rsidP="00572337">
      <w:pPr>
        <w:spacing w:after="60"/>
        <w:rPr>
          <w:lang w:eastAsia="ko-KR"/>
        </w:rPr>
      </w:pPr>
    </w:p>
    <w:p w14:paraId="1ACD038F" w14:textId="77777777" w:rsidR="002D6891" w:rsidRPr="00980094" w:rsidRDefault="002D6891" w:rsidP="002D6891">
      <w:pPr>
        <w:rPr>
          <w:rFonts w:eastAsia="Malgun Gothic"/>
          <w:b/>
          <w:lang w:eastAsia="ko-KR"/>
        </w:rPr>
      </w:pPr>
      <w:r w:rsidRPr="00980094">
        <w:rPr>
          <w:rFonts w:eastAsia="Malgun Gothic"/>
          <w:b/>
          <w:lang w:eastAsia="ko-KR"/>
        </w:rPr>
        <w:t xml:space="preserve">Proposal </w:t>
      </w:r>
      <w:r>
        <w:rPr>
          <w:rFonts w:eastAsia="Malgun Gothic"/>
          <w:b/>
          <w:lang w:eastAsia="ko-KR"/>
        </w:rPr>
        <w:t>1</w:t>
      </w:r>
      <w:r w:rsidRPr="00980094">
        <w:rPr>
          <w:rFonts w:eastAsia="Malgun Gothic"/>
          <w:b/>
          <w:lang w:eastAsia="ko-KR"/>
        </w:rPr>
        <w:t>. RAN2 conclude that delayedRRCReconfig and legacy CHO can be considered for the mIAB’s mobility solution for full migration.</w:t>
      </w:r>
    </w:p>
    <w:p w14:paraId="29E5474A" w14:textId="77777777" w:rsidR="002D6891" w:rsidRDefault="002D6891" w:rsidP="002D6891">
      <w:pPr>
        <w:rPr>
          <w:rFonts w:eastAsia="Malgun Gothic"/>
          <w:b/>
          <w:lang w:eastAsia="ko-KR"/>
        </w:rPr>
      </w:pPr>
      <w:r w:rsidRPr="00980094">
        <w:rPr>
          <w:rFonts w:eastAsia="Malgun Gothic"/>
          <w:b/>
          <w:lang w:eastAsia="ko-KR"/>
        </w:rPr>
        <w:t xml:space="preserve">Proposal </w:t>
      </w:r>
      <w:r>
        <w:rPr>
          <w:rFonts w:eastAsia="Malgun Gothic"/>
          <w:b/>
          <w:lang w:eastAsia="ko-KR"/>
        </w:rPr>
        <w:t>2</w:t>
      </w:r>
      <w:r w:rsidRPr="00980094">
        <w:rPr>
          <w:rFonts w:eastAsia="Malgun Gothic"/>
          <w:b/>
          <w:lang w:eastAsia="ko-KR"/>
        </w:rPr>
        <w:t>. RAN2 to keep the enhancement of CHO as a candidate solution for UE’s handover upon mIAB’s full migration and further discuss based on the raised issue/requirement.</w:t>
      </w:r>
    </w:p>
    <w:p w14:paraId="21E51129" w14:textId="77777777" w:rsidR="002D6891" w:rsidRDefault="002D6891" w:rsidP="002D6891">
      <w:pPr>
        <w:rPr>
          <w:rFonts w:eastAsia="Malgun Gothic"/>
          <w:b/>
          <w:lang w:eastAsia="ko-KR"/>
        </w:rPr>
      </w:pPr>
      <w:r w:rsidRPr="00A67A85">
        <w:rPr>
          <w:rFonts w:eastAsia="Malgun Gothic"/>
          <w:b/>
          <w:lang w:eastAsia="ko-KR"/>
        </w:rPr>
        <w:t xml:space="preserve">Proposal </w:t>
      </w:r>
      <w:r>
        <w:rPr>
          <w:rFonts w:eastAsia="Malgun Gothic"/>
          <w:b/>
          <w:lang w:eastAsia="ko-KR"/>
        </w:rPr>
        <w:t>3</w:t>
      </w:r>
      <w:r w:rsidRPr="00A67A85">
        <w:rPr>
          <w:rFonts w:eastAsia="Malgun Gothic"/>
          <w:b/>
          <w:lang w:eastAsia="ko-KR"/>
        </w:rPr>
        <w:t xml:space="preserve">. </w:t>
      </w:r>
      <w:r>
        <w:rPr>
          <w:rFonts w:eastAsia="Malgun Gothic"/>
          <w:b/>
          <w:lang w:eastAsia="ko-KR"/>
        </w:rPr>
        <w:t xml:space="preserve">All agreements from NR NTN in RAN2#123 can be applicable to mIAB, except for NTN-specific agreements on ta-Report and HARQ mode. </w:t>
      </w:r>
    </w:p>
    <w:p w14:paraId="284809B8" w14:textId="77777777" w:rsidR="002D6891" w:rsidRDefault="002D6891" w:rsidP="002D6891">
      <w:pPr>
        <w:rPr>
          <w:rFonts w:eastAsia="Malgun Gothic"/>
          <w:b/>
          <w:lang w:eastAsia="ko-KR"/>
        </w:rPr>
      </w:pPr>
      <w:r w:rsidRPr="00A67A85">
        <w:rPr>
          <w:rFonts w:eastAsia="Malgun Gothic"/>
          <w:b/>
          <w:lang w:eastAsia="ko-KR"/>
        </w:rPr>
        <w:t xml:space="preserve">Proposal </w:t>
      </w:r>
      <w:r>
        <w:rPr>
          <w:rFonts w:eastAsia="Malgun Gothic"/>
          <w:b/>
          <w:lang w:eastAsia="ko-KR"/>
        </w:rPr>
        <w:t>4</w:t>
      </w:r>
      <w:r w:rsidRPr="00A67A85">
        <w:rPr>
          <w:rFonts w:eastAsia="Malgun Gothic"/>
          <w:b/>
          <w:lang w:eastAsia="ko-KR"/>
        </w:rPr>
        <w:t xml:space="preserve">. </w:t>
      </w:r>
      <w:r>
        <w:rPr>
          <w:rFonts w:eastAsia="Malgun Gothic"/>
          <w:b/>
          <w:lang w:eastAsia="ko-KR"/>
        </w:rPr>
        <w:t xml:space="preserve">If no explicit beam signaling in RACH-less configuration (as introduced by NR NTN or other), the UE applies the same beam for target mIAB cell as for source mIAB cell. </w:t>
      </w:r>
    </w:p>
    <w:p w14:paraId="4DBA7B0E" w14:textId="77777777" w:rsidR="008065A8" w:rsidRPr="00CF58C2" w:rsidRDefault="008065A8" w:rsidP="008065A8">
      <w:pPr>
        <w:rPr>
          <w:rFonts w:eastAsia="Malgun Gothic"/>
          <w:b/>
          <w:lang w:eastAsia="ko-KR"/>
        </w:rPr>
      </w:pPr>
      <w:r w:rsidRPr="00A67A85">
        <w:rPr>
          <w:rFonts w:eastAsia="Malgun Gothic"/>
          <w:b/>
          <w:lang w:eastAsia="ko-KR"/>
        </w:rPr>
        <w:t xml:space="preserve">Proposal </w:t>
      </w:r>
      <w:r>
        <w:rPr>
          <w:rFonts w:eastAsia="Malgun Gothic"/>
          <w:b/>
          <w:lang w:eastAsia="ko-KR"/>
        </w:rPr>
        <w:t>5</w:t>
      </w:r>
      <w:r w:rsidRPr="00A67A85">
        <w:rPr>
          <w:rFonts w:eastAsia="Malgun Gothic"/>
          <w:b/>
          <w:lang w:eastAsia="ko-KR"/>
        </w:rPr>
        <w:t xml:space="preserve">. </w:t>
      </w:r>
      <w:r>
        <w:rPr>
          <w:rFonts w:eastAsia="Malgun Gothic"/>
          <w:b/>
          <w:lang w:eastAsia="ko-KR"/>
        </w:rPr>
        <w:t xml:space="preserve">Introduce a RACH-less validity timer where upon expiry the UE performs RACH-based handover. </w:t>
      </w:r>
    </w:p>
    <w:p w14:paraId="7A38901D" w14:textId="62F509C8" w:rsidR="002D6891" w:rsidRDefault="002D6891" w:rsidP="002D6891">
      <w:pPr>
        <w:rPr>
          <w:rFonts w:eastAsia="Malgun Gothic"/>
          <w:b/>
          <w:lang w:eastAsia="ko-KR"/>
        </w:rPr>
      </w:pPr>
      <w:r w:rsidRPr="00A67A85">
        <w:rPr>
          <w:rFonts w:eastAsia="Malgun Gothic"/>
          <w:b/>
          <w:lang w:eastAsia="ko-KR"/>
        </w:rPr>
        <w:t xml:space="preserve">Proposal </w:t>
      </w:r>
      <w:r>
        <w:rPr>
          <w:rFonts w:eastAsia="Malgun Gothic"/>
          <w:b/>
          <w:lang w:eastAsia="ko-KR"/>
        </w:rPr>
        <w:t>6</w:t>
      </w:r>
      <w:r w:rsidRPr="00A67A85">
        <w:rPr>
          <w:rFonts w:eastAsia="Malgun Gothic"/>
          <w:b/>
          <w:lang w:eastAsia="ko-KR"/>
        </w:rPr>
        <w:t xml:space="preserve">. </w:t>
      </w:r>
      <w:r>
        <w:rPr>
          <w:rFonts w:eastAsia="Malgun Gothic"/>
          <w:b/>
          <w:lang w:eastAsia="ko-KR"/>
        </w:rPr>
        <w:t xml:space="preserve">RAN2 to down-prioritize CHO event T1 for mIAB.  </w:t>
      </w:r>
    </w:p>
    <w:p w14:paraId="1109393C" w14:textId="77777777" w:rsidR="00752B2E" w:rsidRPr="00CF58C2" w:rsidRDefault="00752B2E" w:rsidP="00752B2E">
      <w:pPr>
        <w:rPr>
          <w:rFonts w:eastAsia="Malgun Gothic"/>
          <w:b/>
          <w:lang w:eastAsia="ko-KR"/>
        </w:rPr>
      </w:pPr>
      <w:r w:rsidRPr="00A67A85">
        <w:rPr>
          <w:rFonts w:eastAsia="Malgun Gothic"/>
          <w:b/>
          <w:lang w:eastAsia="ko-KR"/>
        </w:rPr>
        <w:t xml:space="preserve">Proposal </w:t>
      </w:r>
      <w:r>
        <w:rPr>
          <w:rFonts w:eastAsia="Malgun Gothic"/>
          <w:b/>
          <w:lang w:eastAsia="ko-KR"/>
        </w:rPr>
        <w:t>7</w:t>
      </w:r>
      <w:r w:rsidRPr="00A67A85">
        <w:rPr>
          <w:rFonts w:eastAsia="Malgun Gothic"/>
          <w:b/>
          <w:lang w:eastAsia="ko-KR"/>
        </w:rPr>
        <w:t xml:space="preserve">. </w:t>
      </w:r>
      <w:r>
        <w:rPr>
          <w:rFonts w:eastAsia="Malgun Gothic"/>
          <w:b/>
          <w:lang w:eastAsia="ko-KR"/>
        </w:rPr>
        <w:t xml:space="preserve">RAN2 does not introduce general mIAB capability bit for the purpose of mIAB identification during mobility as RAN3 has already introduced procedures that solves the underlying issue. </w:t>
      </w:r>
    </w:p>
    <w:p w14:paraId="4354892E" w14:textId="77777777" w:rsidR="00752B2E" w:rsidRPr="00CF58C2" w:rsidRDefault="00752B2E" w:rsidP="00752B2E">
      <w:pPr>
        <w:rPr>
          <w:rFonts w:eastAsia="Malgun Gothic"/>
          <w:b/>
          <w:lang w:eastAsia="ko-KR"/>
        </w:rPr>
      </w:pPr>
      <w:r w:rsidRPr="00A67A85">
        <w:rPr>
          <w:rFonts w:eastAsia="Malgun Gothic"/>
          <w:b/>
          <w:lang w:eastAsia="ko-KR"/>
        </w:rPr>
        <w:t xml:space="preserve">Proposal </w:t>
      </w:r>
      <w:r>
        <w:rPr>
          <w:rFonts w:eastAsia="Malgun Gothic"/>
          <w:b/>
          <w:lang w:eastAsia="ko-KR"/>
        </w:rPr>
        <w:t>8</w:t>
      </w:r>
      <w:r w:rsidRPr="00A67A85">
        <w:rPr>
          <w:rFonts w:eastAsia="Malgun Gothic"/>
          <w:b/>
          <w:lang w:eastAsia="ko-KR"/>
        </w:rPr>
        <w:t xml:space="preserve">. </w:t>
      </w:r>
      <w:r>
        <w:rPr>
          <w:rFonts w:eastAsia="Malgun Gothic"/>
          <w:b/>
          <w:lang w:eastAsia="ko-KR"/>
        </w:rPr>
        <w:t xml:space="preserve">mIAB indicates MR-DC/NR-DC capabilities as implemented by the IAB node. No requirements for the network to ignore the MR-DC/NR-DC capabilities. </w:t>
      </w:r>
    </w:p>
    <w:p w14:paraId="725903D0" w14:textId="3813EE75" w:rsidR="00DF6B31" w:rsidRDefault="00BB1890" w:rsidP="002D6891">
      <w:pPr>
        <w:rPr>
          <w:rFonts w:eastAsia="Malgun Gothic"/>
          <w:b/>
          <w:lang w:eastAsia="ko-KR"/>
        </w:rPr>
      </w:pPr>
      <w:r w:rsidRPr="00A67A85">
        <w:rPr>
          <w:rFonts w:eastAsia="Malgun Gothic"/>
          <w:b/>
          <w:lang w:eastAsia="ko-KR"/>
        </w:rPr>
        <w:t xml:space="preserve">Proposal </w:t>
      </w:r>
      <w:r>
        <w:rPr>
          <w:rFonts w:eastAsia="Malgun Gothic"/>
          <w:b/>
          <w:lang w:eastAsia="ko-KR"/>
        </w:rPr>
        <w:t>9</w:t>
      </w:r>
      <w:r w:rsidRPr="00A67A85">
        <w:rPr>
          <w:rFonts w:eastAsia="Malgun Gothic"/>
          <w:b/>
          <w:lang w:eastAsia="ko-KR"/>
        </w:rPr>
        <w:t xml:space="preserve">. </w:t>
      </w:r>
      <w:r>
        <w:rPr>
          <w:rFonts w:eastAsia="Malgun Gothic"/>
          <w:b/>
          <w:lang w:eastAsia="ko-KR"/>
        </w:rPr>
        <w:t xml:space="preserve">RAN2 to discuss IAB Rel-16/Rel-17 relation to mIAB. </w:t>
      </w:r>
    </w:p>
    <w:p w14:paraId="6408D72B" w14:textId="59651DF4" w:rsidR="0083484D" w:rsidRPr="00FF7C4E" w:rsidRDefault="00051DF8" w:rsidP="0083484D">
      <w:pPr>
        <w:pStyle w:val="Heading1"/>
      </w:pPr>
      <w:r>
        <w:t>Reference</w:t>
      </w:r>
      <w:r w:rsidR="0083484D" w:rsidRPr="00001886">
        <w:t xml:space="preserve"> </w:t>
      </w:r>
    </w:p>
    <w:p w14:paraId="69C535A8" w14:textId="09456F54" w:rsidR="00D32165" w:rsidRPr="00F844AF" w:rsidRDefault="00D32165" w:rsidP="00405079">
      <w:pPr>
        <w:pStyle w:val="references"/>
        <w:spacing w:after="180" w:line="240" w:lineRule="auto"/>
        <w:rPr>
          <w:szCs w:val="20"/>
        </w:rPr>
      </w:pPr>
      <w:r>
        <w:rPr>
          <w:rFonts w:ascii="Arial" w:hAnsi="Arial" w:cs="Arial"/>
          <w:szCs w:val="20"/>
        </w:rPr>
        <w:t>RP-</w:t>
      </w:r>
      <w:r w:rsidR="00647513">
        <w:rPr>
          <w:rFonts w:ascii="Arial" w:hAnsi="Arial" w:cs="Arial"/>
          <w:szCs w:val="20"/>
        </w:rPr>
        <w:t>222671</w:t>
      </w:r>
      <w:r>
        <w:rPr>
          <w:rFonts w:ascii="Arial" w:hAnsi="Arial" w:cs="Arial"/>
          <w:szCs w:val="20"/>
        </w:rPr>
        <w:t xml:space="preserve">, </w:t>
      </w:r>
      <w:r w:rsidR="00647513">
        <w:rPr>
          <w:rFonts w:ascii="Arial" w:hAnsi="Arial" w:cs="Arial"/>
          <w:szCs w:val="20"/>
        </w:rPr>
        <w:t>New WID on Mobile IAB</w:t>
      </w:r>
      <w:r>
        <w:rPr>
          <w:rFonts w:ascii="Arial" w:hAnsi="Arial" w:cs="Arial"/>
          <w:szCs w:val="20"/>
        </w:rPr>
        <w:t xml:space="preserve">, </w:t>
      </w:r>
      <w:r w:rsidR="00647513">
        <w:rPr>
          <w:rFonts w:ascii="Arial" w:hAnsi="Arial" w:cs="Arial"/>
          <w:szCs w:val="20"/>
        </w:rPr>
        <w:t>Qualcomm</w:t>
      </w:r>
      <w:r>
        <w:rPr>
          <w:rFonts w:ascii="Arial" w:hAnsi="Arial" w:cs="Arial"/>
          <w:szCs w:val="20"/>
        </w:rPr>
        <w:t>, RAN#9</w:t>
      </w:r>
      <w:r w:rsidR="00647513">
        <w:rPr>
          <w:rFonts w:ascii="Arial" w:hAnsi="Arial" w:cs="Arial"/>
          <w:szCs w:val="20"/>
        </w:rPr>
        <w:t>7</w:t>
      </w:r>
      <w:r>
        <w:rPr>
          <w:rFonts w:ascii="Arial" w:hAnsi="Arial" w:cs="Arial"/>
          <w:szCs w:val="20"/>
        </w:rPr>
        <w:t xml:space="preserve">-e, </w:t>
      </w:r>
      <w:r w:rsidR="00647513">
        <w:rPr>
          <w:rFonts w:ascii="Arial" w:hAnsi="Arial" w:cs="Arial"/>
          <w:szCs w:val="20"/>
        </w:rPr>
        <w:t>September</w:t>
      </w:r>
      <w:r>
        <w:rPr>
          <w:rFonts w:ascii="Arial" w:hAnsi="Arial" w:cs="Arial"/>
          <w:szCs w:val="20"/>
        </w:rPr>
        <w:t xml:space="preserve"> 202</w:t>
      </w:r>
      <w:r w:rsidR="00647513">
        <w:rPr>
          <w:rFonts w:ascii="Arial" w:hAnsi="Arial" w:cs="Arial"/>
          <w:szCs w:val="20"/>
        </w:rPr>
        <w:t>2</w:t>
      </w:r>
    </w:p>
    <w:p w14:paraId="7BC10C70" w14:textId="56E1080A" w:rsidR="00BA46AC" w:rsidRDefault="00BA46AC" w:rsidP="00BA46AC">
      <w:pPr>
        <w:pStyle w:val="references"/>
        <w:spacing w:after="180" w:line="240" w:lineRule="auto"/>
        <w:rPr>
          <w:rFonts w:ascii="Arial" w:hAnsi="Arial" w:cs="Arial"/>
          <w:szCs w:val="20"/>
        </w:rPr>
      </w:pPr>
      <w:r w:rsidRPr="006A242E">
        <w:rPr>
          <w:rFonts w:ascii="Arial" w:hAnsi="Arial" w:cs="Arial"/>
          <w:szCs w:val="20"/>
        </w:rPr>
        <w:t>3GPP TS 38.3</w:t>
      </w:r>
      <w:r>
        <w:rPr>
          <w:rFonts w:ascii="Arial" w:hAnsi="Arial" w:cs="Arial"/>
          <w:szCs w:val="20"/>
        </w:rPr>
        <w:t>31,</w:t>
      </w:r>
      <w:r w:rsidRPr="006A242E">
        <w:rPr>
          <w:rFonts w:ascii="Arial" w:hAnsi="Arial" w:cs="Arial"/>
          <w:szCs w:val="20"/>
        </w:rPr>
        <w:t xml:space="preserve"> “</w:t>
      </w:r>
      <w:r>
        <w:rPr>
          <w:rFonts w:ascii="Arial" w:hAnsi="Arial" w:cs="Arial"/>
          <w:szCs w:val="20"/>
        </w:rPr>
        <w:t>Radio Resource Control (RRC</w:t>
      </w:r>
      <w:r w:rsidRPr="006A242E">
        <w:rPr>
          <w:rFonts w:ascii="Arial" w:hAnsi="Arial" w:cs="Arial"/>
          <w:szCs w:val="20"/>
        </w:rPr>
        <w:t>) protocol specification”, V17.</w:t>
      </w:r>
      <w:r>
        <w:rPr>
          <w:rFonts w:ascii="Arial" w:hAnsi="Arial" w:cs="Arial"/>
          <w:szCs w:val="20"/>
        </w:rPr>
        <w:t>5</w:t>
      </w:r>
      <w:r w:rsidRPr="006A242E">
        <w:rPr>
          <w:rFonts w:ascii="Arial" w:hAnsi="Arial" w:cs="Arial"/>
          <w:szCs w:val="20"/>
        </w:rPr>
        <w:t xml:space="preserve">.0, </w:t>
      </w:r>
      <w:r>
        <w:rPr>
          <w:rFonts w:ascii="Arial" w:hAnsi="Arial" w:cs="Arial"/>
          <w:szCs w:val="20"/>
        </w:rPr>
        <w:t>June 2023</w:t>
      </w:r>
      <w:r w:rsidRPr="006A242E">
        <w:rPr>
          <w:rFonts w:ascii="Arial" w:hAnsi="Arial" w:cs="Arial"/>
          <w:szCs w:val="20"/>
        </w:rPr>
        <w:t xml:space="preserve">. </w:t>
      </w:r>
    </w:p>
    <w:p w14:paraId="11FE59C0" w14:textId="6CE990DB" w:rsidR="00502C40" w:rsidRPr="00BA46AC" w:rsidRDefault="00502C40" w:rsidP="00BA46AC">
      <w:pPr>
        <w:pStyle w:val="references"/>
        <w:spacing w:after="180" w:line="240" w:lineRule="auto"/>
        <w:rPr>
          <w:rFonts w:ascii="Arial" w:hAnsi="Arial" w:cs="Arial"/>
          <w:szCs w:val="20"/>
        </w:rPr>
      </w:pPr>
      <w:r>
        <w:rPr>
          <w:rFonts w:ascii="Arial" w:hAnsi="Arial" w:cs="Arial"/>
          <w:szCs w:val="20"/>
        </w:rPr>
        <w:t xml:space="preserve">R2-2309340, “BL CR to TS 38.300 for introduction of mobile IAB”, Ericsson, RAN2#123, August 2023.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6842D" w14:textId="77777777" w:rsidR="00B64145" w:rsidRDefault="00B64145" w:rsidP="00051DF8">
      <w:r>
        <w:separator/>
      </w:r>
    </w:p>
  </w:endnote>
  <w:endnote w:type="continuationSeparator" w:id="0">
    <w:p w14:paraId="4E779261" w14:textId="77777777" w:rsidR="00B64145" w:rsidRDefault="00B64145" w:rsidP="00051DF8">
      <w:r>
        <w:continuationSeparator/>
      </w:r>
    </w:p>
  </w:endnote>
  <w:endnote w:type="continuationNotice" w:id="1">
    <w:p w14:paraId="5557CA53" w14:textId="77777777" w:rsidR="00B64145" w:rsidRDefault="00B6414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4AFC4" w14:textId="77777777" w:rsidR="00B64145" w:rsidRDefault="00B64145" w:rsidP="00051DF8">
      <w:r>
        <w:separator/>
      </w:r>
    </w:p>
  </w:footnote>
  <w:footnote w:type="continuationSeparator" w:id="0">
    <w:p w14:paraId="5ED8120F" w14:textId="77777777" w:rsidR="00B64145" w:rsidRDefault="00B64145" w:rsidP="00051DF8">
      <w:r>
        <w:continuationSeparator/>
      </w:r>
    </w:p>
  </w:footnote>
  <w:footnote w:type="continuationNotice" w:id="1">
    <w:p w14:paraId="1990302B" w14:textId="77777777" w:rsidR="00B64145" w:rsidRDefault="00B6414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1"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D21558F"/>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1"/>
  </w:num>
  <w:num w:numId="3">
    <w:abstractNumId w:val="20"/>
  </w:num>
  <w:num w:numId="4">
    <w:abstractNumId w:val="16"/>
  </w:num>
  <w:num w:numId="5">
    <w:abstractNumId w:val="17"/>
  </w:num>
  <w:num w:numId="6">
    <w:abstractNumId w:val="11"/>
  </w:num>
  <w:num w:numId="7">
    <w:abstractNumId w:val="7"/>
  </w:num>
  <w:num w:numId="8">
    <w:abstractNumId w:val="18"/>
  </w:num>
  <w:num w:numId="9">
    <w:abstractNumId w:val="9"/>
  </w:num>
  <w:num w:numId="10">
    <w:abstractNumId w:val="15"/>
  </w:num>
  <w:num w:numId="11">
    <w:abstractNumId w:val="2"/>
  </w:num>
  <w:num w:numId="12">
    <w:abstractNumId w:val="3"/>
  </w:num>
  <w:num w:numId="13">
    <w:abstractNumId w:val="21"/>
  </w:num>
  <w:num w:numId="14">
    <w:abstractNumId w:val="1"/>
  </w:num>
  <w:num w:numId="15">
    <w:abstractNumId w:val="19"/>
  </w:num>
  <w:num w:numId="16">
    <w:abstractNumId w:val="22"/>
  </w:num>
  <w:num w:numId="17">
    <w:abstractNumId w:val="28"/>
  </w:num>
  <w:num w:numId="18">
    <w:abstractNumId w:val="34"/>
  </w:num>
  <w:num w:numId="19">
    <w:abstractNumId w:val="35"/>
  </w:num>
  <w:num w:numId="20">
    <w:abstractNumId w:val="23"/>
  </w:num>
  <w:num w:numId="21">
    <w:abstractNumId w:val="26"/>
  </w:num>
  <w:num w:numId="22">
    <w:abstractNumId w:val="27"/>
  </w:num>
  <w:num w:numId="23">
    <w:abstractNumId w:val="33"/>
  </w:num>
  <w:num w:numId="24">
    <w:abstractNumId w:val="8"/>
  </w:num>
  <w:num w:numId="25">
    <w:abstractNumId w:val="12"/>
  </w:num>
  <w:num w:numId="26">
    <w:abstractNumId w:val="5"/>
  </w:num>
  <w:num w:numId="27">
    <w:abstractNumId w:val="0"/>
  </w:num>
  <w:num w:numId="28">
    <w:abstractNumId w:val="25"/>
  </w:num>
  <w:num w:numId="29">
    <w:abstractNumId w:val="13"/>
  </w:num>
  <w:num w:numId="30">
    <w:abstractNumId w:val="30"/>
  </w:num>
  <w:num w:numId="31">
    <w:abstractNumId w:val="14"/>
  </w:num>
  <w:num w:numId="32">
    <w:abstractNumId w:val="10"/>
  </w:num>
  <w:num w:numId="33">
    <w:abstractNumId w:val="4"/>
  </w:num>
  <w:num w:numId="34">
    <w:abstractNumId w:val="6"/>
  </w:num>
  <w:num w:numId="35">
    <w:abstractNumId w:val="32"/>
  </w:num>
  <w:num w:numId="3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598C"/>
    <w:rsid w:val="00006DCE"/>
    <w:rsid w:val="00007761"/>
    <w:rsid w:val="00007CAB"/>
    <w:rsid w:val="0001163B"/>
    <w:rsid w:val="00011C8D"/>
    <w:rsid w:val="0001379F"/>
    <w:rsid w:val="00013CDB"/>
    <w:rsid w:val="00014AE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109C"/>
    <w:rsid w:val="00032642"/>
    <w:rsid w:val="00033313"/>
    <w:rsid w:val="00033397"/>
    <w:rsid w:val="00034DB5"/>
    <w:rsid w:val="00035A5D"/>
    <w:rsid w:val="00035DDB"/>
    <w:rsid w:val="00035DF0"/>
    <w:rsid w:val="000375A6"/>
    <w:rsid w:val="00040095"/>
    <w:rsid w:val="000403D7"/>
    <w:rsid w:val="00040932"/>
    <w:rsid w:val="0004169F"/>
    <w:rsid w:val="00042C77"/>
    <w:rsid w:val="0004383E"/>
    <w:rsid w:val="0004585B"/>
    <w:rsid w:val="000472BC"/>
    <w:rsid w:val="00050EBC"/>
    <w:rsid w:val="00051A55"/>
    <w:rsid w:val="00051D35"/>
    <w:rsid w:val="00051DF8"/>
    <w:rsid w:val="00052840"/>
    <w:rsid w:val="0005588D"/>
    <w:rsid w:val="00060D3E"/>
    <w:rsid w:val="000647B6"/>
    <w:rsid w:val="00065268"/>
    <w:rsid w:val="00070BD9"/>
    <w:rsid w:val="00071C4F"/>
    <w:rsid w:val="00072646"/>
    <w:rsid w:val="00073C9C"/>
    <w:rsid w:val="0007427A"/>
    <w:rsid w:val="0007792A"/>
    <w:rsid w:val="00080512"/>
    <w:rsid w:val="00081240"/>
    <w:rsid w:val="000824A8"/>
    <w:rsid w:val="0008378E"/>
    <w:rsid w:val="00085269"/>
    <w:rsid w:val="00090468"/>
    <w:rsid w:val="00090CD4"/>
    <w:rsid w:val="000914AC"/>
    <w:rsid w:val="00094568"/>
    <w:rsid w:val="00094C6B"/>
    <w:rsid w:val="00095044"/>
    <w:rsid w:val="000A0BEF"/>
    <w:rsid w:val="000A4C20"/>
    <w:rsid w:val="000A60C3"/>
    <w:rsid w:val="000B0115"/>
    <w:rsid w:val="000B02F8"/>
    <w:rsid w:val="000B0B40"/>
    <w:rsid w:val="000B0BF3"/>
    <w:rsid w:val="000B0EF0"/>
    <w:rsid w:val="000B1752"/>
    <w:rsid w:val="000B37D7"/>
    <w:rsid w:val="000B40D8"/>
    <w:rsid w:val="000B4877"/>
    <w:rsid w:val="000B6398"/>
    <w:rsid w:val="000B7BCF"/>
    <w:rsid w:val="000C18FE"/>
    <w:rsid w:val="000C2B2C"/>
    <w:rsid w:val="000C522B"/>
    <w:rsid w:val="000C5340"/>
    <w:rsid w:val="000C713D"/>
    <w:rsid w:val="000D2E51"/>
    <w:rsid w:val="000D3336"/>
    <w:rsid w:val="000D4B95"/>
    <w:rsid w:val="000D58AB"/>
    <w:rsid w:val="000D64F1"/>
    <w:rsid w:val="000D6E3F"/>
    <w:rsid w:val="000D75DC"/>
    <w:rsid w:val="000E01FF"/>
    <w:rsid w:val="000E3934"/>
    <w:rsid w:val="000E4069"/>
    <w:rsid w:val="000E5108"/>
    <w:rsid w:val="000E6808"/>
    <w:rsid w:val="000E763B"/>
    <w:rsid w:val="000F481F"/>
    <w:rsid w:val="000F526A"/>
    <w:rsid w:val="000F57DC"/>
    <w:rsid w:val="000F6A70"/>
    <w:rsid w:val="000F6CE7"/>
    <w:rsid w:val="000F7A11"/>
    <w:rsid w:val="00100327"/>
    <w:rsid w:val="001010DB"/>
    <w:rsid w:val="001011C1"/>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51570"/>
    <w:rsid w:val="0015511D"/>
    <w:rsid w:val="001617E5"/>
    <w:rsid w:val="00165A0D"/>
    <w:rsid w:val="00166728"/>
    <w:rsid w:val="0016769C"/>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1A3"/>
    <w:rsid w:val="00186370"/>
    <w:rsid w:val="00190972"/>
    <w:rsid w:val="00191EFD"/>
    <w:rsid w:val="001920E7"/>
    <w:rsid w:val="001921CE"/>
    <w:rsid w:val="00194515"/>
    <w:rsid w:val="00194CD0"/>
    <w:rsid w:val="0019500E"/>
    <w:rsid w:val="001962AF"/>
    <w:rsid w:val="00197FF3"/>
    <w:rsid w:val="001A0077"/>
    <w:rsid w:val="001A18D7"/>
    <w:rsid w:val="001B1BDE"/>
    <w:rsid w:val="001B1E91"/>
    <w:rsid w:val="001B1FA7"/>
    <w:rsid w:val="001B3311"/>
    <w:rsid w:val="001B349E"/>
    <w:rsid w:val="001B49C9"/>
    <w:rsid w:val="001B5A48"/>
    <w:rsid w:val="001C23F4"/>
    <w:rsid w:val="001C3543"/>
    <w:rsid w:val="001C3768"/>
    <w:rsid w:val="001C4AC4"/>
    <w:rsid w:val="001C4CEA"/>
    <w:rsid w:val="001C4F79"/>
    <w:rsid w:val="001C77C4"/>
    <w:rsid w:val="001C7994"/>
    <w:rsid w:val="001D0C63"/>
    <w:rsid w:val="001D1DAA"/>
    <w:rsid w:val="001D1EC0"/>
    <w:rsid w:val="001D2844"/>
    <w:rsid w:val="001D4437"/>
    <w:rsid w:val="001D6647"/>
    <w:rsid w:val="001E2E76"/>
    <w:rsid w:val="001E2FCC"/>
    <w:rsid w:val="001E300A"/>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6DE"/>
    <w:rsid w:val="002334A8"/>
    <w:rsid w:val="002346A7"/>
    <w:rsid w:val="00234C99"/>
    <w:rsid w:val="0023661D"/>
    <w:rsid w:val="00241AC5"/>
    <w:rsid w:val="0024324A"/>
    <w:rsid w:val="00243DE1"/>
    <w:rsid w:val="00244A05"/>
    <w:rsid w:val="002455B8"/>
    <w:rsid w:val="00247550"/>
    <w:rsid w:val="00250404"/>
    <w:rsid w:val="00250645"/>
    <w:rsid w:val="002508F7"/>
    <w:rsid w:val="00252D6F"/>
    <w:rsid w:val="0025613A"/>
    <w:rsid w:val="00260EC0"/>
    <w:rsid w:val="002610D8"/>
    <w:rsid w:val="00266AF5"/>
    <w:rsid w:val="00266D49"/>
    <w:rsid w:val="002675D3"/>
    <w:rsid w:val="002709D8"/>
    <w:rsid w:val="00270A2B"/>
    <w:rsid w:val="002747EC"/>
    <w:rsid w:val="002751AF"/>
    <w:rsid w:val="00275223"/>
    <w:rsid w:val="002772A6"/>
    <w:rsid w:val="002815C0"/>
    <w:rsid w:val="00281AB7"/>
    <w:rsid w:val="00283F62"/>
    <w:rsid w:val="002840C7"/>
    <w:rsid w:val="002845F9"/>
    <w:rsid w:val="00284E78"/>
    <w:rsid w:val="002855BF"/>
    <w:rsid w:val="00287326"/>
    <w:rsid w:val="00290336"/>
    <w:rsid w:val="00292EB4"/>
    <w:rsid w:val="00292FC9"/>
    <w:rsid w:val="00295AB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C75F4"/>
    <w:rsid w:val="002D093F"/>
    <w:rsid w:val="002D2C29"/>
    <w:rsid w:val="002D2CA2"/>
    <w:rsid w:val="002D6446"/>
    <w:rsid w:val="002D657A"/>
    <w:rsid w:val="002D6891"/>
    <w:rsid w:val="002D6D48"/>
    <w:rsid w:val="002E00B5"/>
    <w:rsid w:val="002E246F"/>
    <w:rsid w:val="002E26C0"/>
    <w:rsid w:val="002E3A3A"/>
    <w:rsid w:val="002E3B41"/>
    <w:rsid w:val="002E5ED8"/>
    <w:rsid w:val="002E79BB"/>
    <w:rsid w:val="002F0D22"/>
    <w:rsid w:val="002F12A5"/>
    <w:rsid w:val="002F244D"/>
    <w:rsid w:val="002F3DF3"/>
    <w:rsid w:val="002F5304"/>
    <w:rsid w:val="002F5E23"/>
    <w:rsid w:val="0030563B"/>
    <w:rsid w:val="00305DAA"/>
    <w:rsid w:val="00306241"/>
    <w:rsid w:val="003073B9"/>
    <w:rsid w:val="003105EB"/>
    <w:rsid w:val="00310D9A"/>
    <w:rsid w:val="00311B17"/>
    <w:rsid w:val="003133F1"/>
    <w:rsid w:val="003172DC"/>
    <w:rsid w:val="00317ECD"/>
    <w:rsid w:val="0032086B"/>
    <w:rsid w:val="003211D6"/>
    <w:rsid w:val="00323D2C"/>
    <w:rsid w:val="003243BA"/>
    <w:rsid w:val="00324E66"/>
    <w:rsid w:val="00324F36"/>
    <w:rsid w:val="003255FD"/>
    <w:rsid w:val="00325AE3"/>
    <w:rsid w:val="00326069"/>
    <w:rsid w:val="00327E5D"/>
    <w:rsid w:val="00331565"/>
    <w:rsid w:val="00333345"/>
    <w:rsid w:val="00334493"/>
    <w:rsid w:val="00334507"/>
    <w:rsid w:val="00335A5E"/>
    <w:rsid w:val="00337C3B"/>
    <w:rsid w:val="00341291"/>
    <w:rsid w:val="003415DF"/>
    <w:rsid w:val="00343806"/>
    <w:rsid w:val="003463C4"/>
    <w:rsid w:val="00347221"/>
    <w:rsid w:val="00347B20"/>
    <w:rsid w:val="00350D7C"/>
    <w:rsid w:val="00351CAD"/>
    <w:rsid w:val="00353629"/>
    <w:rsid w:val="0035462D"/>
    <w:rsid w:val="00354B33"/>
    <w:rsid w:val="00363968"/>
    <w:rsid w:val="0036422E"/>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418"/>
    <w:rsid w:val="003C17AF"/>
    <w:rsid w:val="003C1A2A"/>
    <w:rsid w:val="003C237F"/>
    <w:rsid w:val="003C291C"/>
    <w:rsid w:val="003C2C5D"/>
    <w:rsid w:val="003C311A"/>
    <w:rsid w:val="003C4E37"/>
    <w:rsid w:val="003C5533"/>
    <w:rsid w:val="003C5DF8"/>
    <w:rsid w:val="003D127F"/>
    <w:rsid w:val="003D3519"/>
    <w:rsid w:val="003D4028"/>
    <w:rsid w:val="003D4761"/>
    <w:rsid w:val="003D4B16"/>
    <w:rsid w:val="003D6CFA"/>
    <w:rsid w:val="003E01A2"/>
    <w:rsid w:val="003E06FD"/>
    <w:rsid w:val="003E136B"/>
    <w:rsid w:val="003E16BE"/>
    <w:rsid w:val="003E17A4"/>
    <w:rsid w:val="003E4022"/>
    <w:rsid w:val="003E676B"/>
    <w:rsid w:val="003E76CC"/>
    <w:rsid w:val="003F11FC"/>
    <w:rsid w:val="003F24B6"/>
    <w:rsid w:val="003F2920"/>
    <w:rsid w:val="003F3214"/>
    <w:rsid w:val="003F4E28"/>
    <w:rsid w:val="003F7C7B"/>
    <w:rsid w:val="003F7CC9"/>
    <w:rsid w:val="004006E8"/>
    <w:rsid w:val="00401855"/>
    <w:rsid w:val="0040228D"/>
    <w:rsid w:val="0040702D"/>
    <w:rsid w:val="0041304C"/>
    <w:rsid w:val="00413F2F"/>
    <w:rsid w:val="00414017"/>
    <w:rsid w:val="0041434A"/>
    <w:rsid w:val="004174EF"/>
    <w:rsid w:val="0042280C"/>
    <w:rsid w:val="00427D3B"/>
    <w:rsid w:val="00430993"/>
    <w:rsid w:val="00431669"/>
    <w:rsid w:val="00431B30"/>
    <w:rsid w:val="004322B3"/>
    <w:rsid w:val="00432BC9"/>
    <w:rsid w:val="00432BE2"/>
    <w:rsid w:val="00432F4A"/>
    <w:rsid w:val="00441FD9"/>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87876"/>
    <w:rsid w:val="004901A6"/>
    <w:rsid w:val="00490325"/>
    <w:rsid w:val="00490C92"/>
    <w:rsid w:val="00491804"/>
    <w:rsid w:val="004937F8"/>
    <w:rsid w:val="00493A0E"/>
    <w:rsid w:val="00496C77"/>
    <w:rsid w:val="004977B3"/>
    <w:rsid w:val="004A10EE"/>
    <w:rsid w:val="004A1F7B"/>
    <w:rsid w:val="004A3412"/>
    <w:rsid w:val="004A34B4"/>
    <w:rsid w:val="004A34E6"/>
    <w:rsid w:val="004A40FB"/>
    <w:rsid w:val="004A6868"/>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2C40"/>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0DC0"/>
    <w:rsid w:val="00551763"/>
    <w:rsid w:val="005525D5"/>
    <w:rsid w:val="0055422F"/>
    <w:rsid w:val="005545EE"/>
    <w:rsid w:val="0055499D"/>
    <w:rsid w:val="00557338"/>
    <w:rsid w:val="005625DD"/>
    <w:rsid w:val="005642A1"/>
    <w:rsid w:val="00565087"/>
    <w:rsid w:val="0056573F"/>
    <w:rsid w:val="0056656C"/>
    <w:rsid w:val="00571279"/>
    <w:rsid w:val="00571EA4"/>
    <w:rsid w:val="00572337"/>
    <w:rsid w:val="00572564"/>
    <w:rsid w:val="00572895"/>
    <w:rsid w:val="005739BD"/>
    <w:rsid w:val="005739CE"/>
    <w:rsid w:val="00575070"/>
    <w:rsid w:val="005752D5"/>
    <w:rsid w:val="0057598B"/>
    <w:rsid w:val="0058077E"/>
    <w:rsid w:val="00583007"/>
    <w:rsid w:val="00584044"/>
    <w:rsid w:val="0058460B"/>
    <w:rsid w:val="005915D3"/>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3901"/>
    <w:rsid w:val="005D4207"/>
    <w:rsid w:val="005D6E49"/>
    <w:rsid w:val="005D725F"/>
    <w:rsid w:val="005E28FB"/>
    <w:rsid w:val="005E369F"/>
    <w:rsid w:val="005F0D6D"/>
    <w:rsid w:val="005F2403"/>
    <w:rsid w:val="005F456F"/>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2396"/>
    <w:rsid w:val="006326D4"/>
    <w:rsid w:val="00635845"/>
    <w:rsid w:val="006366DF"/>
    <w:rsid w:val="00640307"/>
    <w:rsid w:val="00643340"/>
    <w:rsid w:val="00643673"/>
    <w:rsid w:val="00644F5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54C3"/>
    <w:rsid w:val="00690ED2"/>
    <w:rsid w:val="006933C7"/>
    <w:rsid w:val="00694F59"/>
    <w:rsid w:val="00695261"/>
    <w:rsid w:val="00696821"/>
    <w:rsid w:val="006A19A8"/>
    <w:rsid w:val="006A1A2B"/>
    <w:rsid w:val="006A242E"/>
    <w:rsid w:val="006A416F"/>
    <w:rsid w:val="006A4A4B"/>
    <w:rsid w:val="006B161F"/>
    <w:rsid w:val="006B2C4A"/>
    <w:rsid w:val="006B7006"/>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7F8"/>
    <w:rsid w:val="00737B6B"/>
    <w:rsid w:val="00740C0A"/>
    <w:rsid w:val="00741328"/>
    <w:rsid w:val="00742288"/>
    <w:rsid w:val="00742482"/>
    <w:rsid w:val="00744E76"/>
    <w:rsid w:val="00745AC8"/>
    <w:rsid w:val="007469FD"/>
    <w:rsid w:val="00746A9C"/>
    <w:rsid w:val="007522E2"/>
    <w:rsid w:val="0075287B"/>
    <w:rsid w:val="00752B2E"/>
    <w:rsid w:val="00753B28"/>
    <w:rsid w:val="00754EB6"/>
    <w:rsid w:val="00756547"/>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2872"/>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C095F"/>
    <w:rsid w:val="007C17D5"/>
    <w:rsid w:val="007C1A44"/>
    <w:rsid w:val="007C25AC"/>
    <w:rsid w:val="007C2DD0"/>
    <w:rsid w:val="007C3FAE"/>
    <w:rsid w:val="007C563E"/>
    <w:rsid w:val="007C58AC"/>
    <w:rsid w:val="007C6BBA"/>
    <w:rsid w:val="007C7B54"/>
    <w:rsid w:val="007C7BB8"/>
    <w:rsid w:val="007D06E6"/>
    <w:rsid w:val="007D0E34"/>
    <w:rsid w:val="007D1A7F"/>
    <w:rsid w:val="007D2689"/>
    <w:rsid w:val="007D2A9D"/>
    <w:rsid w:val="007D4F8A"/>
    <w:rsid w:val="007D4FB2"/>
    <w:rsid w:val="007E1392"/>
    <w:rsid w:val="007E26E9"/>
    <w:rsid w:val="007E2EF9"/>
    <w:rsid w:val="007E34F3"/>
    <w:rsid w:val="007E6AA9"/>
    <w:rsid w:val="007F03B5"/>
    <w:rsid w:val="007F09F2"/>
    <w:rsid w:val="007F2D37"/>
    <w:rsid w:val="007F2E08"/>
    <w:rsid w:val="007F4297"/>
    <w:rsid w:val="007F7AA7"/>
    <w:rsid w:val="007F7EC4"/>
    <w:rsid w:val="00800199"/>
    <w:rsid w:val="00800B57"/>
    <w:rsid w:val="008028A4"/>
    <w:rsid w:val="00803EC1"/>
    <w:rsid w:val="008043F1"/>
    <w:rsid w:val="008056ED"/>
    <w:rsid w:val="008065A8"/>
    <w:rsid w:val="00806B0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6DD3"/>
    <w:rsid w:val="008378CB"/>
    <w:rsid w:val="00837E8F"/>
    <w:rsid w:val="0084067A"/>
    <w:rsid w:val="00840DE0"/>
    <w:rsid w:val="00842FBC"/>
    <w:rsid w:val="00844CDD"/>
    <w:rsid w:val="00847C73"/>
    <w:rsid w:val="0085098A"/>
    <w:rsid w:val="00850C3E"/>
    <w:rsid w:val="00851443"/>
    <w:rsid w:val="008515D4"/>
    <w:rsid w:val="008554CE"/>
    <w:rsid w:val="00855A8B"/>
    <w:rsid w:val="00856568"/>
    <w:rsid w:val="00860623"/>
    <w:rsid w:val="008607A8"/>
    <w:rsid w:val="00861551"/>
    <w:rsid w:val="00861FEE"/>
    <w:rsid w:val="00862027"/>
    <w:rsid w:val="0086354A"/>
    <w:rsid w:val="00865EDE"/>
    <w:rsid w:val="00866A0C"/>
    <w:rsid w:val="00870576"/>
    <w:rsid w:val="008732D6"/>
    <w:rsid w:val="00875EB1"/>
    <w:rsid w:val="0087624A"/>
    <w:rsid w:val="008768CA"/>
    <w:rsid w:val="00877BFB"/>
    <w:rsid w:val="00877EF9"/>
    <w:rsid w:val="00880559"/>
    <w:rsid w:val="00880811"/>
    <w:rsid w:val="008818E2"/>
    <w:rsid w:val="00882533"/>
    <w:rsid w:val="008849F5"/>
    <w:rsid w:val="0088643C"/>
    <w:rsid w:val="00890D75"/>
    <w:rsid w:val="00892166"/>
    <w:rsid w:val="00892D9D"/>
    <w:rsid w:val="00894B26"/>
    <w:rsid w:val="00895A0B"/>
    <w:rsid w:val="00895FC5"/>
    <w:rsid w:val="008961F0"/>
    <w:rsid w:val="00896CB6"/>
    <w:rsid w:val="008A092A"/>
    <w:rsid w:val="008A113A"/>
    <w:rsid w:val="008A2511"/>
    <w:rsid w:val="008A331F"/>
    <w:rsid w:val="008A694E"/>
    <w:rsid w:val="008A7F6B"/>
    <w:rsid w:val="008B3C42"/>
    <w:rsid w:val="008B5306"/>
    <w:rsid w:val="008B74AF"/>
    <w:rsid w:val="008C285A"/>
    <w:rsid w:val="008C2E2A"/>
    <w:rsid w:val="008C3057"/>
    <w:rsid w:val="008C3B37"/>
    <w:rsid w:val="008C3BA0"/>
    <w:rsid w:val="008C4E29"/>
    <w:rsid w:val="008C55C1"/>
    <w:rsid w:val="008C7C67"/>
    <w:rsid w:val="008D19D1"/>
    <w:rsid w:val="008D2580"/>
    <w:rsid w:val="008D2E4D"/>
    <w:rsid w:val="008D3040"/>
    <w:rsid w:val="008D3BA5"/>
    <w:rsid w:val="008D49D8"/>
    <w:rsid w:val="008D61D6"/>
    <w:rsid w:val="008D6817"/>
    <w:rsid w:val="008E0988"/>
    <w:rsid w:val="008E198F"/>
    <w:rsid w:val="008E2709"/>
    <w:rsid w:val="008E4AF8"/>
    <w:rsid w:val="008E5EF9"/>
    <w:rsid w:val="008E799C"/>
    <w:rsid w:val="008F396F"/>
    <w:rsid w:val="008F3DCD"/>
    <w:rsid w:val="0090129C"/>
    <w:rsid w:val="00901D5C"/>
    <w:rsid w:val="0090271F"/>
    <w:rsid w:val="009027DA"/>
    <w:rsid w:val="00902DB9"/>
    <w:rsid w:val="00903709"/>
    <w:rsid w:val="0090466A"/>
    <w:rsid w:val="00905338"/>
    <w:rsid w:val="00905359"/>
    <w:rsid w:val="00907FE0"/>
    <w:rsid w:val="0091035F"/>
    <w:rsid w:val="0091047A"/>
    <w:rsid w:val="009139F6"/>
    <w:rsid w:val="009165FC"/>
    <w:rsid w:val="00921E6D"/>
    <w:rsid w:val="0092209D"/>
    <w:rsid w:val="00923655"/>
    <w:rsid w:val="0092601D"/>
    <w:rsid w:val="0092610E"/>
    <w:rsid w:val="009266B6"/>
    <w:rsid w:val="009322D7"/>
    <w:rsid w:val="00936071"/>
    <w:rsid w:val="00936F38"/>
    <w:rsid w:val="009376AF"/>
    <w:rsid w:val="009376CD"/>
    <w:rsid w:val="00940212"/>
    <w:rsid w:val="0094068E"/>
    <w:rsid w:val="009428FC"/>
    <w:rsid w:val="00942EC2"/>
    <w:rsid w:val="00944551"/>
    <w:rsid w:val="00944EC6"/>
    <w:rsid w:val="00947FC8"/>
    <w:rsid w:val="009504CA"/>
    <w:rsid w:val="009505D8"/>
    <w:rsid w:val="009508D2"/>
    <w:rsid w:val="00950B99"/>
    <w:rsid w:val="00952941"/>
    <w:rsid w:val="00952D55"/>
    <w:rsid w:val="0095343C"/>
    <w:rsid w:val="00955E64"/>
    <w:rsid w:val="00955FB6"/>
    <w:rsid w:val="0095778B"/>
    <w:rsid w:val="00961B32"/>
    <w:rsid w:val="00962455"/>
    <w:rsid w:val="00962509"/>
    <w:rsid w:val="00965C7D"/>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A0B"/>
    <w:rsid w:val="00982DAE"/>
    <w:rsid w:val="00983FFE"/>
    <w:rsid w:val="00984DD1"/>
    <w:rsid w:val="00986B60"/>
    <w:rsid w:val="0099153D"/>
    <w:rsid w:val="009928A9"/>
    <w:rsid w:val="009932BF"/>
    <w:rsid w:val="009935D4"/>
    <w:rsid w:val="00995D8C"/>
    <w:rsid w:val="0099772A"/>
    <w:rsid w:val="00997F2F"/>
    <w:rsid w:val="00997FAD"/>
    <w:rsid w:val="009A07BF"/>
    <w:rsid w:val="009A0AF3"/>
    <w:rsid w:val="009A2EEE"/>
    <w:rsid w:val="009A4931"/>
    <w:rsid w:val="009A5858"/>
    <w:rsid w:val="009A642A"/>
    <w:rsid w:val="009B07CD"/>
    <w:rsid w:val="009B13FA"/>
    <w:rsid w:val="009B26F6"/>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16D8A"/>
    <w:rsid w:val="00A204CA"/>
    <w:rsid w:val="00A209D6"/>
    <w:rsid w:val="00A22738"/>
    <w:rsid w:val="00A247E3"/>
    <w:rsid w:val="00A255A1"/>
    <w:rsid w:val="00A26924"/>
    <w:rsid w:val="00A27DC6"/>
    <w:rsid w:val="00A31B24"/>
    <w:rsid w:val="00A33876"/>
    <w:rsid w:val="00A33FE1"/>
    <w:rsid w:val="00A34C56"/>
    <w:rsid w:val="00A409FF"/>
    <w:rsid w:val="00A41829"/>
    <w:rsid w:val="00A430EC"/>
    <w:rsid w:val="00A4371D"/>
    <w:rsid w:val="00A44335"/>
    <w:rsid w:val="00A448B3"/>
    <w:rsid w:val="00A4645A"/>
    <w:rsid w:val="00A466D4"/>
    <w:rsid w:val="00A47F02"/>
    <w:rsid w:val="00A53724"/>
    <w:rsid w:val="00A54B2B"/>
    <w:rsid w:val="00A55A44"/>
    <w:rsid w:val="00A55F69"/>
    <w:rsid w:val="00A60806"/>
    <w:rsid w:val="00A64AFF"/>
    <w:rsid w:val="00A657D6"/>
    <w:rsid w:val="00A664C3"/>
    <w:rsid w:val="00A72629"/>
    <w:rsid w:val="00A7298F"/>
    <w:rsid w:val="00A745A3"/>
    <w:rsid w:val="00A7595B"/>
    <w:rsid w:val="00A75A4F"/>
    <w:rsid w:val="00A76932"/>
    <w:rsid w:val="00A77972"/>
    <w:rsid w:val="00A82346"/>
    <w:rsid w:val="00A82C04"/>
    <w:rsid w:val="00A85727"/>
    <w:rsid w:val="00A860CF"/>
    <w:rsid w:val="00A90727"/>
    <w:rsid w:val="00A91596"/>
    <w:rsid w:val="00A9671C"/>
    <w:rsid w:val="00AA1553"/>
    <w:rsid w:val="00AA4643"/>
    <w:rsid w:val="00AA4F5A"/>
    <w:rsid w:val="00AA5A02"/>
    <w:rsid w:val="00AA610D"/>
    <w:rsid w:val="00AA6212"/>
    <w:rsid w:val="00AA6D24"/>
    <w:rsid w:val="00AB11DA"/>
    <w:rsid w:val="00AB1D78"/>
    <w:rsid w:val="00AB20DF"/>
    <w:rsid w:val="00AB2C03"/>
    <w:rsid w:val="00AB3DDD"/>
    <w:rsid w:val="00AB4454"/>
    <w:rsid w:val="00AB55FE"/>
    <w:rsid w:val="00AC507F"/>
    <w:rsid w:val="00AC6887"/>
    <w:rsid w:val="00AD3082"/>
    <w:rsid w:val="00AE5D2D"/>
    <w:rsid w:val="00AF1733"/>
    <w:rsid w:val="00AF1776"/>
    <w:rsid w:val="00AF371E"/>
    <w:rsid w:val="00AF649F"/>
    <w:rsid w:val="00AF7C5F"/>
    <w:rsid w:val="00B033B3"/>
    <w:rsid w:val="00B0385E"/>
    <w:rsid w:val="00B04A76"/>
    <w:rsid w:val="00B05380"/>
    <w:rsid w:val="00B05962"/>
    <w:rsid w:val="00B05C08"/>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A03"/>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1020"/>
    <w:rsid w:val="00B64145"/>
    <w:rsid w:val="00B657DE"/>
    <w:rsid w:val="00B65AA8"/>
    <w:rsid w:val="00B6672E"/>
    <w:rsid w:val="00B66E42"/>
    <w:rsid w:val="00B726D8"/>
    <w:rsid w:val="00B73674"/>
    <w:rsid w:val="00B7538C"/>
    <w:rsid w:val="00B76953"/>
    <w:rsid w:val="00B8075F"/>
    <w:rsid w:val="00B8471B"/>
    <w:rsid w:val="00B84B49"/>
    <w:rsid w:val="00B84DB2"/>
    <w:rsid w:val="00B873FD"/>
    <w:rsid w:val="00B87583"/>
    <w:rsid w:val="00B965D1"/>
    <w:rsid w:val="00BA18CB"/>
    <w:rsid w:val="00BA1A49"/>
    <w:rsid w:val="00BA376D"/>
    <w:rsid w:val="00BA46AC"/>
    <w:rsid w:val="00BA55D1"/>
    <w:rsid w:val="00BA56A5"/>
    <w:rsid w:val="00BB12BA"/>
    <w:rsid w:val="00BB15DE"/>
    <w:rsid w:val="00BB1890"/>
    <w:rsid w:val="00BB1F15"/>
    <w:rsid w:val="00BB242A"/>
    <w:rsid w:val="00BB3BBA"/>
    <w:rsid w:val="00BB7251"/>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C00351"/>
    <w:rsid w:val="00C00512"/>
    <w:rsid w:val="00C0146E"/>
    <w:rsid w:val="00C04A27"/>
    <w:rsid w:val="00C060FE"/>
    <w:rsid w:val="00C11561"/>
    <w:rsid w:val="00C12B51"/>
    <w:rsid w:val="00C1493D"/>
    <w:rsid w:val="00C151D4"/>
    <w:rsid w:val="00C15466"/>
    <w:rsid w:val="00C1670C"/>
    <w:rsid w:val="00C21AA8"/>
    <w:rsid w:val="00C233F5"/>
    <w:rsid w:val="00C23F90"/>
    <w:rsid w:val="00C243E1"/>
    <w:rsid w:val="00C24650"/>
    <w:rsid w:val="00C2466D"/>
    <w:rsid w:val="00C25465"/>
    <w:rsid w:val="00C25AEA"/>
    <w:rsid w:val="00C30859"/>
    <w:rsid w:val="00C31B5A"/>
    <w:rsid w:val="00C32649"/>
    <w:rsid w:val="00C33079"/>
    <w:rsid w:val="00C339E9"/>
    <w:rsid w:val="00C34F33"/>
    <w:rsid w:val="00C42164"/>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242E"/>
    <w:rsid w:val="00C637FD"/>
    <w:rsid w:val="00C6553E"/>
    <w:rsid w:val="00C66523"/>
    <w:rsid w:val="00C66D96"/>
    <w:rsid w:val="00C70DC4"/>
    <w:rsid w:val="00C760D4"/>
    <w:rsid w:val="00C76A1A"/>
    <w:rsid w:val="00C76B6B"/>
    <w:rsid w:val="00C779A7"/>
    <w:rsid w:val="00C81DF7"/>
    <w:rsid w:val="00C83895"/>
    <w:rsid w:val="00C83A13"/>
    <w:rsid w:val="00C844F8"/>
    <w:rsid w:val="00C84681"/>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C70E9"/>
    <w:rsid w:val="00CD0963"/>
    <w:rsid w:val="00CD0BA8"/>
    <w:rsid w:val="00CD131D"/>
    <w:rsid w:val="00CD14F3"/>
    <w:rsid w:val="00CD4948"/>
    <w:rsid w:val="00CD4C7B"/>
    <w:rsid w:val="00CD4F02"/>
    <w:rsid w:val="00CD58FE"/>
    <w:rsid w:val="00CE08D1"/>
    <w:rsid w:val="00CE1B38"/>
    <w:rsid w:val="00CE31BB"/>
    <w:rsid w:val="00CE3B11"/>
    <w:rsid w:val="00CE557B"/>
    <w:rsid w:val="00CE7B23"/>
    <w:rsid w:val="00CE7EB1"/>
    <w:rsid w:val="00CF1441"/>
    <w:rsid w:val="00CF1E1A"/>
    <w:rsid w:val="00CF2423"/>
    <w:rsid w:val="00CF4D95"/>
    <w:rsid w:val="00CF58C2"/>
    <w:rsid w:val="00CF73D9"/>
    <w:rsid w:val="00D011CA"/>
    <w:rsid w:val="00D019F7"/>
    <w:rsid w:val="00D020FC"/>
    <w:rsid w:val="00D02AF4"/>
    <w:rsid w:val="00D06125"/>
    <w:rsid w:val="00D06188"/>
    <w:rsid w:val="00D12DDB"/>
    <w:rsid w:val="00D15CAA"/>
    <w:rsid w:val="00D1769D"/>
    <w:rsid w:val="00D24051"/>
    <w:rsid w:val="00D24603"/>
    <w:rsid w:val="00D24C0D"/>
    <w:rsid w:val="00D30635"/>
    <w:rsid w:val="00D30C9E"/>
    <w:rsid w:val="00D32165"/>
    <w:rsid w:val="00D33400"/>
    <w:rsid w:val="00D33BE3"/>
    <w:rsid w:val="00D33CDF"/>
    <w:rsid w:val="00D3498F"/>
    <w:rsid w:val="00D35DEB"/>
    <w:rsid w:val="00D36C63"/>
    <w:rsid w:val="00D3792D"/>
    <w:rsid w:val="00D40BB8"/>
    <w:rsid w:val="00D43C85"/>
    <w:rsid w:val="00D43FB4"/>
    <w:rsid w:val="00D44D37"/>
    <w:rsid w:val="00D474EE"/>
    <w:rsid w:val="00D47CAD"/>
    <w:rsid w:val="00D507E3"/>
    <w:rsid w:val="00D51036"/>
    <w:rsid w:val="00D51B3B"/>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8C1"/>
    <w:rsid w:val="00D93914"/>
    <w:rsid w:val="00D96D11"/>
    <w:rsid w:val="00D97774"/>
    <w:rsid w:val="00DA29BD"/>
    <w:rsid w:val="00DA3414"/>
    <w:rsid w:val="00DA6127"/>
    <w:rsid w:val="00DA7A03"/>
    <w:rsid w:val="00DB01B2"/>
    <w:rsid w:val="00DB0C97"/>
    <w:rsid w:val="00DB0DB8"/>
    <w:rsid w:val="00DB159F"/>
    <w:rsid w:val="00DB1818"/>
    <w:rsid w:val="00DB1F9F"/>
    <w:rsid w:val="00DB3918"/>
    <w:rsid w:val="00DB6E3A"/>
    <w:rsid w:val="00DB74A8"/>
    <w:rsid w:val="00DC309B"/>
    <w:rsid w:val="00DC3ED9"/>
    <w:rsid w:val="00DC44E4"/>
    <w:rsid w:val="00DC4DA2"/>
    <w:rsid w:val="00DC5261"/>
    <w:rsid w:val="00DC6A61"/>
    <w:rsid w:val="00DC75FA"/>
    <w:rsid w:val="00DD16AF"/>
    <w:rsid w:val="00DD3480"/>
    <w:rsid w:val="00DD5188"/>
    <w:rsid w:val="00DD64BE"/>
    <w:rsid w:val="00DD6910"/>
    <w:rsid w:val="00DD766F"/>
    <w:rsid w:val="00DE001F"/>
    <w:rsid w:val="00DE03D3"/>
    <w:rsid w:val="00DE0B51"/>
    <w:rsid w:val="00DE22A8"/>
    <w:rsid w:val="00DE25D2"/>
    <w:rsid w:val="00DE292B"/>
    <w:rsid w:val="00DE491C"/>
    <w:rsid w:val="00DF0B46"/>
    <w:rsid w:val="00DF218F"/>
    <w:rsid w:val="00DF4645"/>
    <w:rsid w:val="00DF6B31"/>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3BDE"/>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92B"/>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236F"/>
    <w:rsid w:val="00EC340C"/>
    <w:rsid w:val="00EC4A25"/>
    <w:rsid w:val="00EC5498"/>
    <w:rsid w:val="00EC6C86"/>
    <w:rsid w:val="00EC6F51"/>
    <w:rsid w:val="00EC7DFE"/>
    <w:rsid w:val="00ED0457"/>
    <w:rsid w:val="00ED112E"/>
    <w:rsid w:val="00ED15CB"/>
    <w:rsid w:val="00ED1BAA"/>
    <w:rsid w:val="00ED24E4"/>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9D3"/>
    <w:rsid w:val="00F12DE6"/>
    <w:rsid w:val="00F141DF"/>
    <w:rsid w:val="00F177BD"/>
    <w:rsid w:val="00F2026E"/>
    <w:rsid w:val="00F209BD"/>
    <w:rsid w:val="00F2210A"/>
    <w:rsid w:val="00F223D0"/>
    <w:rsid w:val="00F2248F"/>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37EB0"/>
    <w:rsid w:val="00F40A33"/>
    <w:rsid w:val="00F41159"/>
    <w:rsid w:val="00F43651"/>
    <w:rsid w:val="00F43661"/>
    <w:rsid w:val="00F44DF5"/>
    <w:rsid w:val="00F463C0"/>
    <w:rsid w:val="00F46B11"/>
    <w:rsid w:val="00F46F23"/>
    <w:rsid w:val="00F521FD"/>
    <w:rsid w:val="00F52DE9"/>
    <w:rsid w:val="00F53A6F"/>
    <w:rsid w:val="00F54A3D"/>
    <w:rsid w:val="00F54CB0"/>
    <w:rsid w:val="00F55286"/>
    <w:rsid w:val="00F571A8"/>
    <w:rsid w:val="00F579CD"/>
    <w:rsid w:val="00F61EF6"/>
    <w:rsid w:val="00F633B4"/>
    <w:rsid w:val="00F642D7"/>
    <w:rsid w:val="00F64AA2"/>
    <w:rsid w:val="00F65240"/>
    <w:rsid w:val="00F653B8"/>
    <w:rsid w:val="00F65A54"/>
    <w:rsid w:val="00F701EF"/>
    <w:rsid w:val="00F703C6"/>
    <w:rsid w:val="00F71B89"/>
    <w:rsid w:val="00F72021"/>
    <w:rsid w:val="00F7353C"/>
    <w:rsid w:val="00F758D2"/>
    <w:rsid w:val="00F76F8F"/>
    <w:rsid w:val="00F77B35"/>
    <w:rsid w:val="00F77CC7"/>
    <w:rsid w:val="00F77EE4"/>
    <w:rsid w:val="00F801F4"/>
    <w:rsid w:val="00F8332A"/>
    <w:rsid w:val="00F83C4F"/>
    <w:rsid w:val="00F844A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2449"/>
    <w:rsid w:val="00FD39E8"/>
    <w:rsid w:val="00FD6EDB"/>
    <w:rsid w:val="00FD70B9"/>
    <w:rsid w:val="00FE106D"/>
    <w:rsid w:val="00FE1C0F"/>
    <w:rsid w:val="00FE251B"/>
    <w:rsid w:val="00FE520E"/>
    <w:rsid w:val="00FE6612"/>
    <w:rsid w:val="00FE68A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47513"/>
    <w:pPr>
      <w:spacing w:before="60" w:after="60" w:line="288" w:lineRule="auto"/>
      <w:ind w:firstLineChars="200" w:firstLine="200"/>
      <w:jc w:val="both"/>
    </w:pPr>
    <w:rPr>
      <w:rFonts w:asciiTheme="minorHAnsi" w:eastAsia="Malgun Gothic" w:hAnsiTheme="minorHAnsi" w:cs="Batang"/>
      <w:sz w:val="22"/>
      <w:szCs w:val="22"/>
      <w:lang w:val="en-GB" w:eastAsia="ko-KR"/>
    </w:rPr>
  </w:style>
  <w:style w:type="paragraph" w:customStyle="1" w:styleId="Agreement">
    <w:name w:val="Agreement"/>
    <w:basedOn w:val="Normal"/>
    <w:next w:val="Doc-text2"/>
    <w:uiPriority w:val="99"/>
    <w:qFormat/>
    <w:rsid w:val="00F223D0"/>
    <w:pPr>
      <w:numPr>
        <w:numId w:val="23"/>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7EB2D-BCB9-4F4B-98B6-F9EC0AC9D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3246</Words>
  <Characters>18507</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21710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2023-09-29T07:39:00Z</dcterms:created>
  <dcterms:modified xsi:type="dcterms:W3CDTF">2023-09-29T07:47:00Z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